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62" w:rsidRDefault="005960EA" w:rsidP="00B66562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Вниманию клиентов, имеющих договора</w:t>
      </w:r>
      <w:r w:rsidR="00434B9E">
        <w:rPr>
          <w:rFonts w:ascii="Times New Roman" w:hAnsi="Times New Roman"/>
          <w:sz w:val="28"/>
          <w:szCs w:val="28"/>
        </w:rPr>
        <w:t xml:space="preserve"> о безналичных перечислениях денежных средств на счета физических лиц</w:t>
      </w:r>
      <w:r w:rsidR="00B66562">
        <w:rPr>
          <w:rFonts w:ascii="Times New Roman" w:hAnsi="Times New Roman"/>
          <w:sz w:val="28"/>
          <w:szCs w:val="28"/>
        </w:rPr>
        <w:t xml:space="preserve">! </w:t>
      </w:r>
    </w:p>
    <w:p w:rsidR="00B66562" w:rsidRDefault="00B66562" w:rsidP="00B66562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61419">
        <w:rPr>
          <w:rFonts w:ascii="Times New Roman" w:hAnsi="Times New Roman"/>
          <w:sz w:val="28"/>
          <w:szCs w:val="28"/>
        </w:rPr>
        <w:t xml:space="preserve"> </w:t>
      </w:r>
    </w:p>
    <w:p w:rsidR="00B66562" w:rsidRDefault="00B66562" w:rsidP="00B66562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клиенты!</w:t>
      </w:r>
    </w:p>
    <w:p w:rsidR="00355C90" w:rsidRDefault="00355C90" w:rsidP="00B66562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66562" w:rsidRDefault="00B07D53" w:rsidP="00077F8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40599">
        <w:rPr>
          <w:rFonts w:ascii="Times New Roman" w:hAnsi="Times New Roman"/>
          <w:sz w:val="28"/>
          <w:szCs w:val="28"/>
        </w:rPr>
        <w:t xml:space="preserve"> связи </w:t>
      </w:r>
      <w:r w:rsidR="00882323">
        <w:rPr>
          <w:rFonts w:ascii="Times New Roman" w:hAnsi="Times New Roman"/>
          <w:sz w:val="28"/>
          <w:szCs w:val="28"/>
        </w:rPr>
        <w:t xml:space="preserve">с </w:t>
      </w:r>
      <w:r w:rsidR="00340599">
        <w:rPr>
          <w:rFonts w:ascii="Times New Roman" w:hAnsi="Times New Roman"/>
          <w:sz w:val="28"/>
          <w:szCs w:val="28"/>
        </w:rPr>
        <w:t>внедрением</w:t>
      </w:r>
      <w:r w:rsidR="00434B9E">
        <w:rPr>
          <w:rFonts w:ascii="Times New Roman" w:hAnsi="Times New Roman"/>
          <w:sz w:val="28"/>
          <w:szCs w:val="28"/>
        </w:rPr>
        <w:t xml:space="preserve"> </w:t>
      </w:r>
      <w:r w:rsidR="00434B9E">
        <w:rPr>
          <w:rFonts w:ascii="Roboto-normal" w:hAnsi="Roboto-normal"/>
          <w:color w:val="1D1D1B"/>
          <w:sz w:val="28"/>
          <w:szCs w:val="28"/>
          <w:shd w:val="clear" w:color="auto" w:fill="FFFFFF"/>
        </w:rPr>
        <w:t>методологии стандарта ISO 20022</w:t>
      </w:r>
      <w:r w:rsidR="00340599" w:rsidRPr="00340599">
        <w:rPr>
          <w:rFonts w:ascii="Times New Roman" w:hAnsi="Times New Roman"/>
          <w:sz w:val="28"/>
          <w:szCs w:val="28"/>
        </w:rPr>
        <w:t xml:space="preserve"> </w:t>
      </w:r>
      <w:r w:rsidR="00340599">
        <w:rPr>
          <w:rFonts w:ascii="Times New Roman" w:hAnsi="Times New Roman"/>
          <w:sz w:val="28"/>
          <w:szCs w:val="28"/>
        </w:rPr>
        <w:t>и приведением видов зачислений в соответствии с Кодификатором назначения плат</w:t>
      </w:r>
      <w:r w:rsidR="00882323">
        <w:rPr>
          <w:rFonts w:ascii="Times New Roman" w:hAnsi="Times New Roman"/>
          <w:sz w:val="28"/>
          <w:szCs w:val="28"/>
        </w:rPr>
        <w:t>ежа</w:t>
      </w:r>
      <w:r w:rsidR="00F73188">
        <w:rPr>
          <w:rFonts w:ascii="Times New Roman" w:hAnsi="Times New Roman"/>
          <w:sz w:val="28"/>
          <w:szCs w:val="28"/>
        </w:rPr>
        <w:t xml:space="preserve"> </w:t>
      </w:r>
      <w:r w:rsidR="00E4521E">
        <w:rPr>
          <w:rFonts w:ascii="Times New Roman" w:hAnsi="Times New Roman"/>
          <w:sz w:val="28"/>
          <w:szCs w:val="28"/>
        </w:rPr>
        <w:t xml:space="preserve">с </w:t>
      </w:r>
      <w:r w:rsidR="00E4521E" w:rsidRPr="00077F8C">
        <w:rPr>
          <w:rFonts w:ascii="Times New Roman" w:hAnsi="Times New Roman"/>
          <w:b/>
          <w:sz w:val="36"/>
          <w:szCs w:val="28"/>
        </w:rPr>
        <w:t>24.08.2022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E4521E">
        <w:rPr>
          <w:rFonts w:ascii="Times New Roman" w:hAnsi="Times New Roman"/>
          <w:sz w:val="28"/>
          <w:szCs w:val="28"/>
        </w:rPr>
        <w:t xml:space="preserve">внесены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="00E4521E">
        <w:rPr>
          <w:rFonts w:ascii="Times New Roman" w:hAnsi="Times New Roman"/>
          <w:sz w:val="28"/>
          <w:szCs w:val="28"/>
        </w:rPr>
        <w:t xml:space="preserve">в </w:t>
      </w:r>
      <w:r w:rsidR="00E4521E" w:rsidRPr="00355C90">
        <w:rPr>
          <w:rFonts w:ascii="Times New Roman" w:hAnsi="Times New Roman"/>
          <w:sz w:val="28"/>
          <w:szCs w:val="28"/>
        </w:rPr>
        <w:t>Перечень операций и величины плат по операциям по обслуживанию юридических лиц и индивидуальных предпринимателей</w:t>
      </w:r>
      <w:r w:rsidR="00E4521E">
        <w:rPr>
          <w:rFonts w:ascii="Times New Roman" w:hAnsi="Times New Roman"/>
          <w:sz w:val="28"/>
          <w:szCs w:val="28"/>
        </w:rPr>
        <w:t>, а именно в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E4521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3.19, 3.20 Раздела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109"/>
        <w:gridCol w:w="4530"/>
      </w:tblGrid>
      <w:tr w:rsidR="0044668B" w:rsidTr="0044668B">
        <w:tc>
          <w:tcPr>
            <w:tcW w:w="706" w:type="dxa"/>
          </w:tcPr>
          <w:p w:rsidR="0044668B" w:rsidRDefault="0044668B" w:rsidP="004466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4668B" w:rsidRPr="0044668B" w:rsidRDefault="0044668B" w:rsidP="004466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Было</w:t>
            </w:r>
          </w:p>
        </w:tc>
        <w:tc>
          <w:tcPr>
            <w:tcW w:w="4530" w:type="dxa"/>
          </w:tcPr>
          <w:p w:rsidR="0044668B" w:rsidRDefault="0044668B" w:rsidP="0044668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Стало</w:t>
            </w:r>
          </w:p>
        </w:tc>
      </w:tr>
      <w:tr w:rsidR="0044668B" w:rsidTr="0044668B">
        <w:tc>
          <w:tcPr>
            <w:tcW w:w="706" w:type="dxa"/>
          </w:tcPr>
          <w:p w:rsidR="0044668B" w:rsidRPr="0044668B" w:rsidRDefault="0044668B" w:rsidP="00B6656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4109" w:type="dxa"/>
          </w:tcPr>
          <w:p w:rsidR="0044668B" w:rsidRPr="00F14837" w:rsidRDefault="0044668B" w:rsidP="00B6656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14837">
              <w:rPr>
                <w:rFonts w:ascii="Times New Roman" w:hAnsi="Times New Roman"/>
                <w:sz w:val="24"/>
                <w:szCs w:val="28"/>
              </w:rPr>
              <w:t>Зачисление заработной платы и иных платежей (за исключением займов, дивидендов, арендных платежей, страховых выплат) на счета физических лиц от юридических лиц/ индивидуальных предпринимателей</w:t>
            </w:r>
          </w:p>
        </w:tc>
        <w:tc>
          <w:tcPr>
            <w:tcW w:w="4530" w:type="dxa"/>
          </w:tcPr>
          <w:p w:rsidR="0044668B" w:rsidRPr="00F14837" w:rsidRDefault="0044668B" w:rsidP="00B6656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14837">
              <w:rPr>
                <w:rFonts w:ascii="Times New Roman" w:hAnsi="Times New Roman"/>
                <w:sz w:val="24"/>
                <w:szCs w:val="28"/>
              </w:rPr>
              <w:t xml:space="preserve">Зачисление заработной платы и приравненных к ней выплат, дохода индивидуального предпринимателя, выплат социального характера, командировочных расходов, алиментов, выплат по договорам подряда </w:t>
            </w:r>
            <w:r w:rsidRPr="00DD03E1">
              <w:rPr>
                <w:rFonts w:ascii="Times New Roman" w:hAnsi="Times New Roman"/>
                <w:sz w:val="20"/>
                <w:szCs w:val="28"/>
              </w:rPr>
              <w:t>на счета физических лиц от юридических лиц/ индивидуальных предпринимателей</w:t>
            </w:r>
          </w:p>
        </w:tc>
      </w:tr>
      <w:tr w:rsidR="0044668B" w:rsidTr="0044668B">
        <w:tc>
          <w:tcPr>
            <w:tcW w:w="706" w:type="dxa"/>
          </w:tcPr>
          <w:p w:rsidR="0044668B" w:rsidRPr="0044668B" w:rsidRDefault="0044668B" w:rsidP="00B6656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4109" w:type="dxa"/>
          </w:tcPr>
          <w:p w:rsidR="0044668B" w:rsidRPr="00F14837" w:rsidRDefault="0044668B" w:rsidP="00B6656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14837">
              <w:rPr>
                <w:rFonts w:ascii="Times New Roman" w:hAnsi="Times New Roman"/>
                <w:sz w:val="24"/>
                <w:szCs w:val="28"/>
              </w:rPr>
              <w:t>Зачисление прочих платежей (займы, дивиденды, арендные платежи, страховые выплаты) на счета физических лиц от юридических лиц/ индивидуальных предпринимателей</w:t>
            </w:r>
          </w:p>
        </w:tc>
        <w:tc>
          <w:tcPr>
            <w:tcW w:w="4530" w:type="dxa"/>
          </w:tcPr>
          <w:p w:rsidR="0044668B" w:rsidRPr="00F14837" w:rsidRDefault="0044668B" w:rsidP="00B6656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14837">
              <w:rPr>
                <w:rFonts w:ascii="Times New Roman" w:hAnsi="Times New Roman"/>
                <w:sz w:val="24"/>
                <w:szCs w:val="28"/>
              </w:rPr>
              <w:t xml:space="preserve">Зачисление страховых выплат, дивидендов, аренды, займов, других выплат и перечислений </w:t>
            </w:r>
            <w:r w:rsidRPr="00DD03E1">
              <w:rPr>
                <w:rFonts w:ascii="Times New Roman" w:hAnsi="Times New Roman"/>
                <w:sz w:val="20"/>
                <w:szCs w:val="28"/>
              </w:rPr>
              <w:t>на счета физических лиц от юридических лиц/ индивидуальных предпринимателей</w:t>
            </w:r>
          </w:p>
        </w:tc>
      </w:tr>
    </w:tbl>
    <w:p w:rsidR="00FC1DDE" w:rsidRDefault="00FC1DDE" w:rsidP="00B66562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77F8C" w:rsidRPr="00077F8C" w:rsidRDefault="00077F8C" w:rsidP="00077F8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40"/>
          <w:szCs w:val="28"/>
        </w:rPr>
      </w:pPr>
      <w:r w:rsidRPr="00077F8C">
        <w:rPr>
          <w:rFonts w:ascii="Times New Roman" w:hAnsi="Times New Roman"/>
          <w:sz w:val="40"/>
          <w:szCs w:val="28"/>
        </w:rPr>
        <w:t>!!! Выбирайте правильно вид зачисления в 61 запросе, так как это влияет на</w:t>
      </w:r>
      <w:r w:rsidR="0044668B">
        <w:rPr>
          <w:rFonts w:ascii="Times New Roman" w:hAnsi="Times New Roman"/>
          <w:sz w:val="40"/>
          <w:szCs w:val="28"/>
        </w:rPr>
        <w:t xml:space="preserve"> расчет комиссии за зачисление, а также н</w:t>
      </w:r>
      <w:r w:rsidR="0044668B" w:rsidRPr="0044668B">
        <w:rPr>
          <w:rFonts w:ascii="Times New Roman" w:hAnsi="Times New Roman"/>
          <w:sz w:val="40"/>
          <w:szCs w:val="28"/>
        </w:rPr>
        <w:t xml:space="preserve">а возможность получения кредита в банке физическим лицом (вид зачисления анализируется банком при расчете кредитоспособности кредитополучателя </w:t>
      </w:r>
      <w:r w:rsidR="0044668B">
        <w:rPr>
          <w:rFonts w:ascii="Times New Roman" w:hAnsi="Times New Roman"/>
          <w:sz w:val="40"/>
          <w:szCs w:val="28"/>
        </w:rPr>
        <w:t>–</w:t>
      </w:r>
      <w:r w:rsidR="0044668B" w:rsidRPr="0044668B">
        <w:rPr>
          <w:rFonts w:ascii="Times New Roman" w:hAnsi="Times New Roman"/>
          <w:sz w:val="40"/>
          <w:szCs w:val="28"/>
        </w:rPr>
        <w:t xml:space="preserve"> физ</w:t>
      </w:r>
      <w:r w:rsidR="0044668B">
        <w:rPr>
          <w:rFonts w:ascii="Times New Roman" w:hAnsi="Times New Roman"/>
          <w:sz w:val="40"/>
          <w:szCs w:val="28"/>
        </w:rPr>
        <w:t>.</w:t>
      </w:r>
      <w:r w:rsidR="0044668B" w:rsidRPr="0044668B">
        <w:rPr>
          <w:rFonts w:ascii="Times New Roman" w:hAnsi="Times New Roman"/>
          <w:sz w:val="40"/>
          <w:szCs w:val="28"/>
        </w:rPr>
        <w:t xml:space="preserve"> лица)</w:t>
      </w:r>
    </w:p>
    <w:p w:rsidR="0044668B" w:rsidRDefault="0044668B" w:rsidP="00B6656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2323" w:rsidRDefault="00077F8C" w:rsidP="00B6656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33BBF">
        <w:rPr>
          <w:rFonts w:ascii="Times New Roman" w:hAnsi="Times New Roman"/>
          <w:sz w:val="28"/>
          <w:szCs w:val="28"/>
        </w:rPr>
        <w:t xml:space="preserve">еречень </w:t>
      </w:r>
      <w:r w:rsidR="00882323">
        <w:rPr>
          <w:rFonts w:ascii="Times New Roman" w:hAnsi="Times New Roman"/>
          <w:sz w:val="28"/>
          <w:szCs w:val="28"/>
        </w:rPr>
        <w:t>в</w:t>
      </w:r>
      <w:r w:rsidR="00333BBF">
        <w:rPr>
          <w:rFonts w:ascii="Times New Roman" w:hAnsi="Times New Roman"/>
          <w:sz w:val="28"/>
          <w:szCs w:val="28"/>
        </w:rPr>
        <w:t>ид</w:t>
      </w:r>
      <w:r w:rsidR="00882323">
        <w:rPr>
          <w:rFonts w:ascii="Times New Roman" w:hAnsi="Times New Roman"/>
          <w:sz w:val="28"/>
          <w:szCs w:val="28"/>
        </w:rPr>
        <w:t>ов</w:t>
      </w:r>
      <w:r w:rsidR="00333BBF">
        <w:rPr>
          <w:rFonts w:ascii="Times New Roman" w:hAnsi="Times New Roman"/>
          <w:sz w:val="28"/>
          <w:szCs w:val="28"/>
        </w:rPr>
        <w:t xml:space="preserve"> зачислений в 61 запросе</w:t>
      </w:r>
      <w:r w:rsidR="00434B9E">
        <w:rPr>
          <w:rFonts w:ascii="Times New Roman" w:hAnsi="Times New Roman"/>
          <w:sz w:val="28"/>
          <w:szCs w:val="28"/>
        </w:rPr>
        <w:t xml:space="preserve"> </w:t>
      </w:r>
      <w:r w:rsidR="003F5821">
        <w:rPr>
          <w:rFonts w:ascii="Times New Roman" w:hAnsi="Times New Roman"/>
          <w:sz w:val="28"/>
          <w:szCs w:val="28"/>
        </w:rPr>
        <w:t>–</w:t>
      </w:r>
      <w:r w:rsidR="00434B9E">
        <w:rPr>
          <w:rFonts w:ascii="Times New Roman" w:hAnsi="Times New Roman"/>
          <w:sz w:val="28"/>
          <w:szCs w:val="28"/>
        </w:rPr>
        <w:t xml:space="preserve"> </w:t>
      </w:r>
      <w:r w:rsidR="003F5821">
        <w:rPr>
          <w:rFonts w:ascii="Times New Roman" w:hAnsi="Times New Roman"/>
          <w:sz w:val="28"/>
          <w:szCs w:val="28"/>
        </w:rPr>
        <w:t>«</w:t>
      </w:r>
      <w:r w:rsidR="00434B9E" w:rsidRPr="00434B9E">
        <w:rPr>
          <w:rFonts w:ascii="Times New Roman" w:hAnsi="Times New Roman"/>
          <w:sz w:val="28"/>
          <w:szCs w:val="28"/>
        </w:rPr>
        <w:t>Список для зачисления денежных средств на счета физических лиц</w:t>
      </w:r>
      <w:r w:rsidR="003F58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состоит из</w:t>
      </w:r>
      <w:r w:rsidR="00333BBF">
        <w:rPr>
          <w:rFonts w:ascii="Times New Roman" w:hAnsi="Times New Roman"/>
          <w:sz w:val="28"/>
          <w:szCs w:val="28"/>
        </w:rPr>
        <w:t xml:space="preserve">: </w:t>
      </w:r>
    </w:p>
    <w:p w:rsidR="00DD03E1" w:rsidRDefault="00DD03E1" w:rsidP="00B6656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14837" w:rsidRPr="00DD03E1" w:rsidRDefault="00DD03E1" w:rsidP="00B66562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03E1">
        <w:rPr>
          <w:rFonts w:ascii="Times New Roman" w:hAnsi="Times New Roman"/>
          <w:b/>
          <w:i/>
          <w:sz w:val="28"/>
          <w:szCs w:val="40"/>
          <w:u w:val="single"/>
        </w:rPr>
        <w:t>ПЛАТА ПО П. 3.19:</w:t>
      </w:r>
    </w:p>
    <w:p w:rsidR="0044668B" w:rsidRPr="009A1218" w:rsidRDefault="00333BBF" w:rsidP="00882323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40"/>
        </w:rPr>
      </w:pPr>
      <w:r w:rsidRPr="009A1218">
        <w:rPr>
          <w:rFonts w:ascii="Times New Roman" w:hAnsi="Times New Roman"/>
          <w:b/>
          <w:sz w:val="28"/>
          <w:szCs w:val="40"/>
        </w:rPr>
        <w:t>Заработная плат</w:t>
      </w:r>
      <w:r w:rsidR="00882323" w:rsidRPr="009A1218">
        <w:rPr>
          <w:rFonts w:ascii="Times New Roman" w:hAnsi="Times New Roman"/>
          <w:b/>
          <w:sz w:val="28"/>
          <w:szCs w:val="40"/>
        </w:rPr>
        <w:t>а и приравненные к ней выплаты</w:t>
      </w:r>
    </w:p>
    <w:p w:rsidR="00CC73B6" w:rsidRDefault="00CC73B6" w:rsidP="00F14837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40"/>
        </w:rPr>
      </w:pPr>
      <w:r>
        <w:rPr>
          <w:rFonts w:ascii="Times New Roman" w:hAnsi="Times New Roman"/>
          <w:i/>
          <w:sz w:val="28"/>
          <w:szCs w:val="40"/>
        </w:rPr>
        <w:t>з</w:t>
      </w:r>
      <w:r w:rsidRPr="00CC73B6">
        <w:rPr>
          <w:rFonts w:ascii="Times New Roman" w:hAnsi="Times New Roman"/>
          <w:i/>
          <w:sz w:val="28"/>
          <w:szCs w:val="40"/>
        </w:rPr>
        <w:t xml:space="preserve">аработная плата, </w:t>
      </w:r>
    </w:p>
    <w:p w:rsidR="00CC73B6" w:rsidRDefault="00CC73B6" w:rsidP="00F14837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40"/>
        </w:rPr>
      </w:pPr>
      <w:r w:rsidRPr="00CC73B6">
        <w:rPr>
          <w:rFonts w:ascii="Times New Roman" w:hAnsi="Times New Roman"/>
          <w:i/>
          <w:sz w:val="28"/>
          <w:szCs w:val="40"/>
        </w:rPr>
        <w:t xml:space="preserve">стимулирующие и компенсирующие выплаты, устанавливаемые нанимателем на основании коллективного договора, соглашения, иных локальных правовых актов и трудового договора, </w:t>
      </w:r>
    </w:p>
    <w:p w:rsidR="00CC73B6" w:rsidRDefault="00CC73B6" w:rsidP="00F14837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40"/>
        </w:rPr>
      </w:pPr>
      <w:r w:rsidRPr="00CC73B6">
        <w:rPr>
          <w:rFonts w:ascii="Times New Roman" w:hAnsi="Times New Roman"/>
          <w:i/>
          <w:sz w:val="28"/>
          <w:szCs w:val="40"/>
        </w:rPr>
        <w:t xml:space="preserve">другие выплаты и пособия, на которые работник имеет право в соответствии с законодательством, </w:t>
      </w:r>
    </w:p>
    <w:p w:rsidR="00882323" w:rsidRPr="00A074FA" w:rsidRDefault="00CC73B6" w:rsidP="00F14837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40"/>
        </w:rPr>
      </w:pPr>
      <w:r w:rsidRPr="00CC73B6">
        <w:rPr>
          <w:rFonts w:ascii="Times New Roman" w:hAnsi="Times New Roman"/>
          <w:i/>
          <w:sz w:val="28"/>
          <w:szCs w:val="40"/>
        </w:rPr>
        <w:t>материальная помощь</w:t>
      </w:r>
      <w:r w:rsidR="00A074FA">
        <w:rPr>
          <w:rFonts w:ascii="Times New Roman" w:hAnsi="Times New Roman"/>
          <w:i/>
          <w:sz w:val="28"/>
          <w:szCs w:val="40"/>
          <w:lang w:val="en-US"/>
        </w:rPr>
        <w:t>,</w:t>
      </w:r>
    </w:p>
    <w:p w:rsidR="00A074FA" w:rsidRDefault="00A074FA" w:rsidP="00A074FA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40"/>
        </w:rPr>
      </w:pPr>
      <w:r w:rsidRPr="00A074FA">
        <w:rPr>
          <w:rFonts w:ascii="Times New Roman" w:hAnsi="Times New Roman"/>
          <w:i/>
          <w:sz w:val="28"/>
          <w:szCs w:val="40"/>
        </w:rPr>
        <w:lastRenderedPageBreak/>
        <w:t>отпускные</w:t>
      </w:r>
      <w:r>
        <w:rPr>
          <w:rFonts w:ascii="Times New Roman" w:hAnsi="Times New Roman"/>
          <w:i/>
          <w:sz w:val="28"/>
          <w:szCs w:val="40"/>
        </w:rPr>
        <w:t>,</w:t>
      </w:r>
    </w:p>
    <w:p w:rsidR="00A074FA" w:rsidRDefault="00A074FA" w:rsidP="00A074FA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40"/>
        </w:rPr>
      </w:pPr>
      <w:r w:rsidRPr="00A074FA">
        <w:rPr>
          <w:rFonts w:ascii="Times New Roman" w:hAnsi="Times New Roman"/>
          <w:i/>
          <w:sz w:val="28"/>
          <w:szCs w:val="40"/>
        </w:rPr>
        <w:t>окончательный расчет при увольнении</w:t>
      </w:r>
    </w:p>
    <w:p w:rsidR="00882323" w:rsidRPr="009A1218" w:rsidRDefault="00333BBF" w:rsidP="00882323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40"/>
        </w:rPr>
      </w:pPr>
      <w:r w:rsidRPr="009A1218">
        <w:rPr>
          <w:rFonts w:ascii="Times New Roman" w:hAnsi="Times New Roman"/>
          <w:b/>
          <w:sz w:val="28"/>
          <w:szCs w:val="40"/>
        </w:rPr>
        <w:t>Доход индивидуального предпринимателя</w:t>
      </w:r>
    </w:p>
    <w:p w:rsidR="00882323" w:rsidRPr="009A1218" w:rsidRDefault="00333BBF" w:rsidP="00882323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40"/>
        </w:rPr>
      </w:pPr>
      <w:r w:rsidRPr="009A1218">
        <w:rPr>
          <w:rFonts w:ascii="Times New Roman" w:hAnsi="Times New Roman"/>
          <w:b/>
          <w:sz w:val="28"/>
          <w:szCs w:val="40"/>
        </w:rPr>
        <w:t>Выплаты социального характера</w:t>
      </w:r>
    </w:p>
    <w:p w:rsidR="00CC73B6" w:rsidRPr="00CC73B6" w:rsidRDefault="00CC73B6" w:rsidP="00F14837">
      <w:pPr>
        <w:pStyle w:val="1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40"/>
        </w:rPr>
      </w:pPr>
      <w:r w:rsidRPr="00CC73B6">
        <w:rPr>
          <w:rFonts w:ascii="Times New Roman" w:hAnsi="Times New Roman"/>
          <w:i/>
          <w:sz w:val="28"/>
          <w:szCs w:val="40"/>
        </w:rPr>
        <w:t xml:space="preserve">пенсии, </w:t>
      </w:r>
    </w:p>
    <w:p w:rsidR="00CC73B6" w:rsidRPr="00CC73B6" w:rsidRDefault="00CC73B6" w:rsidP="00F14837">
      <w:pPr>
        <w:pStyle w:val="1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40"/>
        </w:rPr>
      </w:pPr>
      <w:r w:rsidRPr="00CC73B6">
        <w:rPr>
          <w:rFonts w:ascii="Times New Roman" w:hAnsi="Times New Roman"/>
          <w:i/>
          <w:sz w:val="28"/>
          <w:szCs w:val="40"/>
        </w:rPr>
        <w:t>стипендии, надбавки к стипендиям и материальная помощь обучающимся</w:t>
      </w:r>
    </w:p>
    <w:p w:rsidR="00CC73B6" w:rsidRPr="009A1218" w:rsidRDefault="00CC73B6" w:rsidP="00F14837">
      <w:pPr>
        <w:pStyle w:val="1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40"/>
        </w:rPr>
      </w:pPr>
      <w:r w:rsidRPr="00CC73B6">
        <w:rPr>
          <w:rFonts w:ascii="Times New Roman" w:hAnsi="Times New Roman"/>
          <w:i/>
          <w:sz w:val="28"/>
          <w:szCs w:val="40"/>
        </w:rPr>
        <w:t>иные выплаты социального характера</w:t>
      </w:r>
    </w:p>
    <w:p w:rsidR="00882323" w:rsidRPr="00F14837" w:rsidRDefault="00333BBF" w:rsidP="00882323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40"/>
        </w:rPr>
      </w:pPr>
      <w:r w:rsidRPr="00F14837">
        <w:rPr>
          <w:rFonts w:ascii="Times New Roman" w:hAnsi="Times New Roman"/>
          <w:b/>
          <w:sz w:val="28"/>
          <w:szCs w:val="40"/>
        </w:rPr>
        <w:t>Командировочные расходы</w:t>
      </w:r>
    </w:p>
    <w:p w:rsidR="00882323" w:rsidRPr="00F14837" w:rsidRDefault="00333BBF" w:rsidP="00882323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40"/>
        </w:rPr>
      </w:pPr>
      <w:r w:rsidRPr="00F14837">
        <w:rPr>
          <w:rFonts w:ascii="Times New Roman" w:hAnsi="Times New Roman"/>
          <w:b/>
          <w:sz w:val="28"/>
          <w:szCs w:val="40"/>
        </w:rPr>
        <w:t xml:space="preserve">Алименты </w:t>
      </w:r>
    </w:p>
    <w:p w:rsidR="00882323" w:rsidRDefault="00333BBF" w:rsidP="00882323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40"/>
        </w:rPr>
      </w:pPr>
      <w:r w:rsidRPr="00F14837">
        <w:rPr>
          <w:rFonts w:ascii="Times New Roman" w:hAnsi="Times New Roman"/>
          <w:b/>
          <w:sz w:val="28"/>
          <w:szCs w:val="40"/>
        </w:rPr>
        <w:t xml:space="preserve">Выплаты по договорам подряда </w:t>
      </w:r>
    </w:p>
    <w:p w:rsidR="00DD03E1" w:rsidRDefault="00DD03E1" w:rsidP="00DD03E1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40"/>
        </w:rPr>
      </w:pPr>
    </w:p>
    <w:p w:rsidR="00DD03E1" w:rsidRPr="00DD03E1" w:rsidRDefault="00DD03E1" w:rsidP="00DD03E1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40"/>
          <w:u w:val="single"/>
        </w:rPr>
      </w:pPr>
      <w:r w:rsidRPr="00DD03E1">
        <w:rPr>
          <w:rFonts w:ascii="Times New Roman" w:hAnsi="Times New Roman"/>
          <w:b/>
          <w:i/>
          <w:sz w:val="28"/>
          <w:szCs w:val="40"/>
          <w:u w:val="single"/>
        </w:rPr>
        <w:t>ПЛАТА ПО П. 3.20:</w:t>
      </w:r>
    </w:p>
    <w:p w:rsidR="00DD03E1" w:rsidRPr="009A1218" w:rsidRDefault="00DD03E1" w:rsidP="00DD03E1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40"/>
        </w:rPr>
      </w:pPr>
      <w:r w:rsidRPr="009A1218">
        <w:rPr>
          <w:rFonts w:ascii="Times New Roman" w:hAnsi="Times New Roman"/>
          <w:b/>
          <w:sz w:val="28"/>
          <w:szCs w:val="40"/>
        </w:rPr>
        <w:t xml:space="preserve">Страховые выплаты </w:t>
      </w:r>
    </w:p>
    <w:p w:rsidR="00DD03E1" w:rsidRPr="009A1218" w:rsidRDefault="00DD03E1" w:rsidP="00DD03E1">
      <w:pPr>
        <w:pStyle w:val="1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40"/>
        </w:rPr>
      </w:pPr>
      <w:r w:rsidRPr="009A1218">
        <w:rPr>
          <w:rFonts w:ascii="Times New Roman" w:hAnsi="Times New Roman"/>
          <w:i/>
          <w:sz w:val="28"/>
          <w:szCs w:val="40"/>
        </w:rPr>
        <w:t>страховые выплаты, связанные со страхованием жизни</w:t>
      </w:r>
      <w:r w:rsidR="00A074FA">
        <w:rPr>
          <w:rFonts w:ascii="Times New Roman" w:hAnsi="Times New Roman"/>
          <w:i/>
          <w:sz w:val="28"/>
          <w:szCs w:val="40"/>
        </w:rPr>
        <w:t>,</w:t>
      </w:r>
    </w:p>
    <w:p w:rsidR="00DD03E1" w:rsidRPr="009A1218" w:rsidRDefault="00DD03E1" w:rsidP="00DD03E1">
      <w:pPr>
        <w:pStyle w:val="1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40"/>
        </w:rPr>
      </w:pPr>
      <w:r w:rsidRPr="009A1218">
        <w:rPr>
          <w:rFonts w:ascii="Times New Roman" w:hAnsi="Times New Roman"/>
          <w:i/>
          <w:sz w:val="28"/>
          <w:szCs w:val="40"/>
        </w:rPr>
        <w:t>страховые выплаты по видам добровольного страхования, не относящимся к страхованию жизни</w:t>
      </w:r>
      <w:r w:rsidR="00A074FA">
        <w:rPr>
          <w:rFonts w:ascii="Times New Roman" w:hAnsi="Times New Roman"/>
          <w:i/>
          <w:sz w:val="28"/>
          <w:szCs w:val="40"/>
        </w:rPr>
        <w:t>,</w:t>
      </w:r>
    </w:p>
    <w:p w:rsidR="00DD03E1" w:rsidRPr="009A1218" w:rsidRDefault="00DD03E1" w:rsidP="00DD03E1">
      <w:pPr>
        <w:pStyle w:val="1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40"/>
        </w:rPr>
      </w:pPr>
      <w:r w:rsidRPr="009A1218">
        <w:rPr>
          <w:rFonts w:ascii="Times New Roman" w:hAnsi="Times New Roman"/>
          <w:i/>
          <w:sz w:val="28"/>
          <w:szCs w:val="40"/>
        </w:rPr>
        <w:t>страховые выплаты по видам обязательного страхования</w:t>
      </w:r>
    </w:p>
    <w:p w:rsidR="00DD03E1" w:rsidRPr="00F14837" w:rsidRDefault="00DD03E1" w:rsidP="00DD03E1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40"/>
        </w:rPr>
      </w:pPr>
      <w:r w:rsidRPr="00F14837">
        <w:rPr>
          <w:rFonts w:ascii="Times New Roman" w:hAnsi="Times New Roman"/>
          <w:b/>
          <w:sz w:val="28"/>
          <w:szCs w:val="40"/>
        </w:rPr>
        <w:t xml:space="preserve">Дивиденды </w:t>
      </w:r>
    </w:p>
    <w:p w:rsidR="009A1218" w:rsidRPr="00F14837" w:rsidRDefault="00333BBF" w:rsidP="00882323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40"/>
        </w:rPr>
      </w:pPr>
      <w:r w:rsidRPr="00F14837">
        <w:rPr>
          <w:rFonts w:ascii="Times New Roman" w:hAnsi="Times New Roman"/>
          <w:b/>
          <w:sz w:val="28"/>
          <w:szCs w:val="40"/>
        </w:rPr>
        <w:t>Аренда</w:t>
      </w:r>
    </w:p>
    <w:p w:rsidR="009A1218" w:rsidRPr="009A1218" w:rsidRDefault="009A1218" w:rsidP="00F14837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40"/>
        </w:rPr>
      </w:pPr>
      <w:r w:rsidRPr="009A1218">
        <w:rPr>
          <w:rFonts w:ascii="Times New Roman" w:hAnsi="Times New Roman"/>
          <w:i/>
          <w:sz w:val="28"/>
          <w:szCs w:val="40"/>
        </w:rPr>
        <w:t>аренда движимого имущества</w:t>
      </w:r>
      <w:r w:rsidR="00A074FA">
        <w:rPr>
          <w:rFonts w:ascii="Times New Roman" w:hAnsi="Times New Roman"/>
          <w:i/>
          <w:sz w:val="28"/>
          <w:szCs w:val="40"/>
        </w:rPr>
        <w:t>,</w:t>
      </w:r>
    </w:p>
    <w:p w:rsidR="00882323" w:rsidRPr="009A1218" w:rsidRDefault="009A1218" w:rsidP="00F14837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40"/>
        </w:rPr>
      </w:pPr>
      <w:r w:rsidRPr="009A1218">
        <w:rPr>
          <w:rFonts w:ascii="Times New Roman" w:hAnsi="Times New Roman"/>
          <w:i/>
          <w:sz w:val="28"/>
          <w:szCs w:val="40"/>
        </w:rPr>
        <w:t xml:space="preserve">аренда недвижимости </w:t>
      </w:r>
    </w:p>
    <w:p w:rsidR="00882323" w:rsidRPr="00F14837" w:rsidRDefault="00333BBF" w:rsidP="00882323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40"/>
        </w:rPr>
      </w:pPr>
      <w:r w:rsidRPr="00F14837">
        <w:rPr>
          <w:rFonts w:ascii="Times New Roman" w:hAnsi="Times New Roman"/>
          <w:b/>
          <w:sz w:val="28"/>
          <w:szCs w:val="40"/>
        </w:rPr>
        <w:t xml:space="preserve">Займ </w:t>
      </w:r>
    </w:p>
    <w:p w:rsidR="00B66562" w:rsidRPr="00F14837" w:rsidRDefault="00333BBF" w:rsidP="00882323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4837">
        <w:rPr>
          <w:rFonts w:ascii="Times New Roman" w:hAnsi="Times New Roman"/>
          <w:b/>
          <w:sz w:val="28"/>
          <w:szCs w:val="40"/>
        </w:rPr>
        <w:t>Другие выплаты и перечисления</w:t>
      </w:r>
    </w:p>
    <w:p w:rsidR="00F14837" w:rsidRPr="00F14837" w:rsidRDefault="001D740F" w:rsidP="00F14837">
      <w:pPr>
        <w:pStyle w:val="11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36"/>
          <w:szCs w:val="28"/>
        </w:rPr>
      </w:pPr>
      <w:r>
        <w:rPr>
          <w:rFonts w:ascii="Times New Roman" w:hAnsi="Times New Roman"/>
          <w:i/>
          <w:sz w:val="36"/>
          <w:szCs w:val="28"/>
        </w:rPr>
        <w:t>Хозяйственные расходы</w:t>
      </w:r>
      <w:r w:rsidR="00A074FA">
        <w:rPr>
          <w:rFonts w:ascii="Times New Roman" w:hAnsi="Times New Roman"/>
          <w:i/>
          <w:sz w:val="36"/>
          <w:szCs w:val="28"/>
        </w:rPr>
        <w:t>,</w:t>
      </w:r>
    </w:p>
    <w:p w:rsidR="00F14837" w:rsidRPr="00F14837" w:rsidRDefault="00F14837" w:rsidP="00F14837">
      <w:pPr>
        <w:pStyle w:val="11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14837">
        <w:rPr>
          <w:rFonts w:ascii="Times New Roman" w:hAnsi="Times New Roman"/>
          <w:i/>
          <w:sz w:val="28"/>
          <w:szCs w:val="28"/>
        </w:rPr>
        <w:t>Субсидии</w:t>
      </w:r>
      <w:r w:rsidR="00A074FA">
        <w:rPr>
          <w:rFonts w:ascii="Times New Roman" w:hAnsi="Times New Roman"/>
          <w:i/>
          <w:sz w:val="28"/>
          <w:szCs w:val="28"/>
        </w:rPr>
        <w:t>,</w:t>
      </w:r>
    </w:p>
    <w:p w:rsidR="00F14837" w:rsidRPr="00F14837" w:rsidRDefault="00F14837" w:rsidP="00F14837">
      <w:pPr>
        <w:pStyle w:val="11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14837">
        <w:rPr>
          <w:rFonts w:ascii="Times New Roman" w:hAnsi="Times New Roman"/>
          <w:i/>
          <w:sz w:val="28"/>
          <w:szCs w:val="28"/>
        </w:rPr>
        <w:t>Прочие выплаты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F14837">
        <w:rPr>
          <w:rFonts w:ascii="Times New Roman" w:hAnsi="Times New Roman"/>
          <w:i/>
          <w:sz w:val="28"/>
          <w:szCs w:val="28"/>
        </w:rPr>
        <w:t>выплаты физическим лицам, не вошедшие в вышеперечисленные категории</w:t>
      </w:r>
      <w:r>
        <w:rPr>
          <w:rFonts w:ascii="Times New Roman" w:hAnsi="Times New Roman"/>
          <w:i/>
          <w:sz w:val="28"/>
          <w:szCs w:val="28"/>
        </w:rPr>
        <w:t>)</w:t>
      </w:r>
      <w:bookmarkStart w:id="0" w:name="_GoBack"/>
      <w:bookmarkEnd w:id="0"/>
    </w:p>
    <w:p w:rsidR="00434B9E" w:rsidRDefault="00434B9E" w:rsidP="00B6656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7D53" w:rsidRDefault="00B07D53" w:rsidP="00B6656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7D53" w:rsidRDefault="00B07D53" w:rsidP="00B6656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7D53">
        <w:rPr>
          <w:rFonts w:ascii="Times New Roman" w:hAnsi="Times New Roman"/>
          <w:sz w:val="28"/>
          <w:szCs w:val="28"/>
        </w:rPr>
        <w:t xml:space="preserve">Со всеми изменениями Вы можете ознакомиться на сайте банка по адресу </w:t>
      </w:r>
      <w:hyperlink r:id="rId7" w:history="1">
        <w:r w:rsidR="00F83FDF" w:rsidRPr="0051497D">
          <w:rPr>
            <w:rStyle w:val="a4"/>
            <w:rFonts w:ascii="Times New Roman" w:hAnsi="Times New Roman"/>
            <w:sz w:val="28"/>
            <w:szCs w:val="28"/>
          </w:rPr>
          <w:t>https://www.priorbank.by/priorbank-main/tarify-dokumenty/</w:t>
        </w:r>
      </w:hyperlink>
      <w:r w:rsidR="00F83FDF">
        <w:rPr>
          <w:rFonts w:ascii="Times New Roman" w:hAnsi="Times New Roman"/>
          <w:sz w:val="28"/>
          <w:szCs w:val="28"/>
        </w:rPr>
        <w:t>,</w:t>
      </w:r>
      <w:r w:rsidR="00F83FDF" w:rsidRPr="00A074FA">
        <w:rPr>
          <w:rFonts w:ascii="Times New Roman" w:hAnsi="Times New Roman"/>
          <w:sz w:val="28"/>
          <w:szCs w:val="28"/>
        </w:rPr>
        <w:t xml:space="preserve"> </w:t>
      </w:r>
      <w:r w:rsidRPr="00B07D53">
        <w:rPr>
          <w:rFonts w:ascii="Times New Roman" w:hAnsi="Times New Roman"/>
          <w:sz w:val="28"/>
          <w:szCs w:val="28"/>
        </w:rPr>
        <w:t>на информационных стендах центров банковских услуг «Приорбанк» ОАО.</w:t>
      </w:r>
    </w:p>
    <w:p w:rsidR="00B07D53" w:rsidRPr="00B07D53" w:rsidRDefault="00B07D53" w:rsidP="00B07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D53">
        <w:rPr>
          <w:rFonts w:ascii="Times New Roman" w:hAnsi="Times New Roman"/>
          <w:sz w:val="28"/>
          <w:szCs w:val="28"/>
        </w:rPr>
        <w:t>Надеемся на дальнейшее взаимовыгодное сотрудничество.</w:t>
      </w:r>
    </w:p>
    <w:p w:rsidR="00B07D53" w:rsidRPr="00B07D53" w:rsidRDefault="00B07D53" w:rsidP="00B07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D53" w:rsidRPr="00B07D53" w:rsidRDefault="00B07D53" w:rsidP="00B07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D53">
        <w:rPr>
          <w:rFonts w:ascii="Times New Roman" w:hAnsi="Times New Roman"/>
          <w:sz w:val="28"/>
          <w:szCs w:val="28"/>
        </w:rPr>
        <w:t>«Приорбанк» ОАО</w:t>
      </w:r>
    </w:p>
    <w:p w:rsidR="00360F8A" w:rsidRDefault="00360F8A" w:rsidP="00B07D53">
      <w:pPr>
        <w:spacing w:after="0" w:line="240" w:lineRule="auto"/>
      </w:pPr>
    </w:p>
    <w:sectPr w:rsidR="00360F8A" w:rsidSect="006B36A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49" w:rsidRDefault="001B1C49" w:rsidP="001B1C49">
      <w:pPr>
        <w:spacing w:after="0" w:line="240" w:lineRule="auto"/>
      </w:pPr>
      <w:r>
        <w:separator/>
      </w:r>
    </w:p>
  </w:endnote>
  <w:endnote w:type="continuationSeparator" w:id="0">
    <w:p w:rsidR="001B1C49" w:rsidRDefault="001B1C49" w:rsidP="001B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-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49" w:rsidRDefault="001B1C49" w:rsidP="001B1C49">
      <w:pPr>
        <w:spacing w:after="0" w:line="240" w:lineRule="auto"/>
      </w:pPr>
      <w:r>
        <w:separator/>
      </w:r>
    </w:p>
  </w:footnote>
  <w:footnote w:type="continuationSeparator" w:id="0">
    <w:p w:rsidR="001B1C49" w:rsidRDefault="001B1C49" w:rsidP="001B1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992"/>
    <w:multiLevelType w:val="hybridMultilevel"/>
    <w:tmpl w:val="13840E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1876"/>
    <w:multiLevelType w:val="hybridMultilevel"/>
    <w:tmpl w:val="14788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270D"/>
    <w:multiLevelType w:val="hybridMultilevel"/>
    <w:tmpl w:val="981C0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13AEE"/>
    <w:multiLevelType w:val="hybridMultilevel"/>
    <w:tmpl w:val="032C1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2695A"/>
    <w:multiLevelType w:val="hybridMultilevel"/>
    <w:tmpl w:val="50D6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632F2"/>
    <w:multiLevelType w:val="multilevel"/>
    <w:tmpl w:val="306CF84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47A68D6"/>
    <w:multiLevelType w:val="hybridMultilevel"/>
    <w:tmpl w:val="483A3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25CC7"/>
    <w:multiLevelType w:val="hybridMultilevel"/>
    <w:tmpl w:val="055E40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62"/>
    <w:rsid w:val="000304CF"/>
    <w:rsid w:val="00077F8C"/>
    <w:rsid w:val="000A1391"/>
    <w:rsid w:val="000B4E13"/>
    <w:rsid w:val="00172A6E"/>
    <w:rsid w:val="001A4833"/>
    <w:rsid w:val="001B1C49"/>
    <w:rsid w:val="001D740F"/>
    <w:rsid w:val="002B3E6C"/>
    <w:rsid w:val="002C15F7"/>
    <w:rsid w:val="002F7D54"/>
    <w:rsid w:val="003127B0"/>
    <w:rsid w:val="00313C70"/>
    <w:rsid w:val="00333BBF"/>
    <w:rsid w:val="00340599"/>
    <w:rsid w:val="00355C90"/>
    <w:rsid w:val="00360F8A"/>
    <w:rsid w:val="00375333"/>
    <w:rsid w:val="00376CEE"/>
    <w:rsid w:val="003F5821"/>
    <w:rsid w:val="00434B9E"/>
    <w:rsid w:val="0044668B"/>
    <w:rsid w:val="00534B82"/>
    <w:rsid w:val="00546D58"/>
    <w:rsid w:val="00563261"/>
    <w:rsid w:val="00585D71"/>
    <w:rsid w:val="005960EA"/>
    <w:rsid w:val="005A770D"/>
    <w:rsid w:val="00635ED2"/>
    <w:rsid w:val="00672CE5"/>
    <w:rsid w:val="0067367B"/>
    <w:rsid w:val="00683E4B"/>
    <w:rsid w:val="006B36A5"/>
    <w:rsid w:val="00713FF7"/>
    <w:rsid w:val="007915BC"/>
    <w:rsid w:val="007F4C36"/>
    <w:rsid w:val="00861817"/>
    <w:rsid w:val="00882323"/>
    <w:rsid w:val="00893B4C"/>
    <w:rsid w:val="008F503B"/>
    <w:rsid w:val="0091503F"/>
    <w:rsid w:val="00971B8E"/>
    <w:rsid w:val="00996430"/>
    <w:rsid w:val="009A1218"/>
    <w:rsid w:val="009C7CD4"/>
    <w:rsid w:val="00A074FA"/>
    <w:rsid w:val="00A24338"/>
    <w:rsid w:val="00A24A0E"/>
    <w:rsid w:val="00A82755"/>
    <w:rsid w:val="00A91EA2"/>
    <w:rsid w:val="00AC00D6"/>
    <w:rsid w:val="00AF2D3A"/>
    <w:rsid w:val="00B07D53"/>
    <w:rsid w:val="00B42C13"/>
    <w:rsid w:val="00B66562"/>
    <w:rsid w:val="00C07D9E"/>
    <w:rsid w:val="00C139C5"/>
    <w:rsid w:val="00C2441A"/>
    <w:rsid w:val="00CC73B6"/>
    <w:rsid w:val="00CF7FD1"/>
    <w:rsid w:val="00D021E4"/>
    <w:rsid w:val="00D11D00"/>
    <w:rsid w:val="00DB3B10"/>
    <w:rsid w:val="00DC70E4"/>
    <w:rsid w:val="00DD03E1"/>
    <w:rsid w:val="00DF030D"/>
    <w:rsid w:val="00DF5154"/>
    <w:rsid w:val="00E4521E"/>
    <w:rsid w:val="00E8093B"/>
    <w:rsid w:val="00EB6606"/>
    <w:rsid w:val="00F015DF"/>
    <w:rsid w:val="00F14837"/>
    <w:rsid w:val="00F73188"/>
    <w:rsid w:val="00F83FDF"/>
    <w:rsid w:val="00F90DBF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3CA8DBC"/>
  <w15:chartTrackingRefBased/>
  <w15:docId w15:val="{3A6B6C5D-7EBF-440D-B30E-0D04344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4A0E"/>
    <w:pPr>
      <w:pageBreakBefore/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after="120" w:line="240" w:lineRule="auto"/>
      <w:jc w:val="both"/>
      <w:outlineLvl w:val="0"/>
    </w:pPr>
    <w:rPr>
      <w:rFonts w:ascii="Arial" w:eastAsiaTheme="minorHAnsi" w:hAnsi="Arial" w:cstheme="minorBidi"/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A24A0E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120" w:line="240" w:lineRule="auto"/>
      <w:jc w:val="both"/>
      <w:outlineLvl w:val="1"/>
    </w:pPr>
    <w:rPr>
      <w:rFonts w:asciiTheme="minorHAnsi" w:eastAsiaTheme="minorHAnsi" w:hAnsiTheme="minorHAnsi" w:cstheme="minorBidi"/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24A0E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200" w:after="0" w:line="240" w:lineRule="auto"/>
      <w:jc w:val="both"/>
      <w:outlineLvl w:val="2"/>
    </w:pPr>
    <w:rPr>
      <w:rFonts w:ascii="Arial" w:eastAsiaTheme="minorHAnsi" w:hAnsi="Arial" w:cstheme="minorBidi"/>
      <w:caps/>
      <w:color w:val="1F4D78" w:themeColor="accent1" w:themeShade="7F"/>
      <w:spacing w:val="15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A0E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after="0" w:line="360" w:lineRule="auto"/>
      <w:jc w:val="both"/>
      <w:outlineLvl w:val="3"/>
    </w:pPr>
    <w:rPr>
      <w:rFonts w:asciiTheme="minorHAnsi" w:eastAsiaTheme="minorHAnsi" w:hAnsiTheme="minorHAnsi" w:cstheme="minorBidi"/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A0E"/>
    <w:pPr>
      <w:numPr>
        <w:ilvl w:val="4"/>
        <w:numId w:val="1"/>
      </w:numPr>
      <w:pBdr>
        <w:bottom w:val="single" w:sz="6" w:space="1" w:color="5B9BD5" w:themeColor="accent1"/>
      </w:pBdr>
      <w:spacing w:before="300" w:after="0" w:line="360" w:lineRule="auto"/>
      <w:jc w:val="both"/>
      <w:outlineLvl w:val="4"/>
    </w:pPr>
    <w:rPr>
      <w:rFonts w:asciiTheme="minorHAnsi" w:eastAsiaTheme="minorHAnsi" w:hAnsiTheme="minorHAnsi" w:cstheme="minorBidi"/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A0E"/>
    <w:pPr>
      <w:numPr>
        <w:ilvl w:val="5"/>
        <w:numId w:val="1"/>
      </w:numPr>
      <w:pBdr>
        <w:bottom w:val="dotted" w:sz="6" w:space="1" w:color="5B9BD5" w:themeColor="accent1"/>
      </w:pBdr>
      <w:spacing w:before="300" w:after="0" w:line="360" w:lineRule="auto"/>
      <w:jc w:val="both"/>
      <w:outlineLvl w:val="5"/>
    </w:pPr>
    <w:rPr>
      <w:rFonts w:asciiTheme="minorHAnsi" w:eastAsiaTheme="minorHAnsi" w:hAnsiTheme="minorHAnsi" w:cstheme="minorBidi"/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A0E"/>
    <w:pPr>
      <w:numPr>
        <w:ilvl w:val="6"/>
        <w:numId w:val="1"/>
      </w:numPr>
      <w:spacing w:before="300" w:after="0" w:line="360" w:lineRule="auto"/>
      <w:jc w:val="both"/>
      <w:outlineLvl w:val="6"/>
    </w:pPr>
    <w:rPr>
      <w:rFonts w:asciiTheme="minorHAnsi" w:eastAsiaTheme="minorHAnsi" w:hAnsiTheme="minorHAnsi" w:cstheme="minorBidi"/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A0E"/>
    <w:pPr>
      <w:numPr>
        <w:ilvl w:val="7"/>
        <w:numId w:val="1"/>
      </w:numPr>
      <w:spacing w:before="300" w:after="0" w:line="360" w:lineRule="auto"/>
      <w:jc w:val="both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665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A0E"/>
    <w:rPr>
      <w:rFonts w:ascii="Arial" w:hAnsi="Arial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A24A0E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A24A0E"/>
    <w:rPr>
      <w:rFonts w:ascii="Arial" w:hAnsi="Arial"/>
      <w:caps/>
      <w:color w:val="1F4D78" w:themeColor="accent1" w:themeShade="7F"/>
      <w:spacing w:val="15"/>
      <w:sz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24A0E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4A0E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4A0E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4A0E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4A0E"/>
    <w:rPr>
      <w:caps/>
      <w:spacing w:val="10"/>
      <w:sz w:val="18"/>
      <w:szCs w:val="18"/>
    </w:rPr>
  </w:style>
  <w:style w:type="table" w:styleId="a3">
    <w:name w:val="Table Grid"/>
    <w:basedOn w:val="a1"/>
    <w:uiPriority w:val="39"/>
    <w:rsid w:val="0044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3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orbank.by/priorbank-main/tarify-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Y. Romanyuk</dc:creator>
  <cp:keywords/>
  <dc:description/>
  <cp:lastModifiedBy>Mariya Rudaya</cp:lastModifiedBy>
  <cp:revision>7</cp:revision>
  <dcterms:created xsi:type="dcterms:W3CDTF">2022-08-25T09:45:00Z</dcterms:created>
  <dcterms:modified xsi:type="dcterms:W3CDTF">2022-08-25T12:26:00Z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2022-08-15T14:31:40Z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51e6078e-d2c0-4c31-b815-57d91acd1160</vt:lpwstr>
  </property>
  <property fmtid="{D5CDD505-2E9C-101B-9397-08002B2CF9AE}" pid="8" name="MSIP_Label_2a6524ed-fb1a-49fd-bafe-15c5e5ffd047_ContentBits">
    <vt:lpwstr>0</vt:lpwstr>
  </property>
</Properties>
</file>