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60" w:rsidRDefault="00A82E60" w:rsidP="00A82E60">
      <w:pPr>
        <w:spacing w:after="0" w:line="240" w:lineRule="auto"/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</w:pPr>
    </w:p>
    <w:p w:rsidR="00A56AAE" w:rsidRPr="00543C5E" w:rsidRDefault="00A56AAE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543C5E" w:rsidRPr="00EC4F86" w:rsidRDefault="00543C5E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color w:val="2F2F2F"/>
          <w:sz w:val="32"/>
          <w:szCs w:val="32"/>
          <w:lang w:val="ru-RU"/>
        </w:rPr>
      </w:pPr>
      <w:r w:rsidRPr="00EC4F86">
        <w:rPr>
          <w:rFonts w:ascii="Century Gothic" w:hAnsi="Century Gothic" w:cs="Verdana"/>
          <w:b/>
          <w:color w:val="2F2F2F"/>
          <w:sz w:val="32"/>
          <w:szCs w:val="32"/>
          <w:lang w:val="ru-RU"/>
        </w:rPr>
        <w:t>Информация по срочным банковским вкладам (депозитам) физических лиц в белорусских рублях</w:t>
      </w:r>
      <w:r w:rsidR="008D1C04" w:rsidRPr="00EC4F86">
        <w:rPr>
          <w:rFonts w:ascii="Century Gothic" w:hAnsi="Century Gothic" w:cs="Verdana"/>
          <w:b/>
          <w:color w:val="2F2F2F"/>
          <w:sz w:val="32"/>
          <w:szCs w:val="32"/>
          <w:lang w:val="ru-RU"/>
        </w:rPr>
        <w:t xml:space="preserve"> сроком на 1 месяц</w:t>
      </w:r>
    </w:p>
    <w:p w:rsidR="00543C5E" w:rsidRDefault="00543C5E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Pr="0003262A" w:rsidRDefault="00E32250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40"/>
          <w:szCs w:val="40"/>
          <w:lang w:val="ru-RU"/>
        </w:rPr>
      </w:pPr>
      <w:r w:rsidRPr="0003262A">
        <w:rPr>
          <w:rFonts w:ascii="Century Gothic" w:hAnsi="Century Gothic" w:cs="Verdana"/>
          <w:color w:val="2F2F2F"/>
          <w:sz w:val="40"/>
          <w:szCs w:val="40"/>
          <w:lang w:val="ru-RU"/>
        </w:rPr>
        <w:t>Уважаемые клиенты!</w:t>
      </w:r>
    </w:p>
    <w:p w:rsidR="00AD734F" w:rsidRPr="00EC4F86" w:rsidRDefault="00AD734F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32"/>
          <w:szCs w:val="32"/>
          <w:lang w:val="ru-RU"/>
        </w:rPr>
      </w:pPr>
    </w:p>
    <w:p w:rsidR="00EC4F86" w:rsidRDefault="00EC4F86" w:rsidP="00AD734F">
      <w:pPr>
        <w:pStyle w:val="pp"/>
        <w:jc w:val="both"/>
        <w:textAlignment w:val="top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     </w:t>
      </w:r>
      <w:r w:rsidR="00AD734F" w:rsidRPr="00EC4F86">
        <w:rPr>
          <w:rFonts w:ascii="Century Gothic" w:hAnsi="Century Gothic" w:cs="Arial"/>
          <w:sz w:val="32"/>
          <w:szCs w:val="32"/>
        </w:rPr>
        <w:t>Об</w:t>
      </w:r>
      <w:r w:rsidR="008D1C04" w:rsidRPr="00EC4F86">
        <w:rPr>
          <w:rFonts w:ascii="Century Gothic" w:hAnsi="Century Gothic" w:cs="Arial"/>
          <w:sz w:val="32"/>
          <w:szCs w:val="32"/>
        </w:rPr>
        <w:t>ращаем Ваше внимание, что</w:t>
      </w:r>
      <w:r w:rsidR="00E73D90" w:rsidRPr="00EC4F86">
        <w:rPr>
          <w:rFonts w:ascii="Century Gothic" w:hAnsi="Century Gothic" w:cs="Arial"/>
          <w:sz w:val="32"/>
          <w:szCs w:val="32"/>
        </w:rPr>
        <w:t xml:space="preserve"> в соответствии с Общими условиями банковского обслуживания физических лиц в «Приорб</w:t>
      </w:r>
      <w:r>
        <w:rPr>
          <w:rFonts w:ascii="Century Gothic" w:hAnsi="Century Gothic" w:cs="Arial"/>
          <w:sz w:val="32"/>
          <w:szCs w:val="32"/>
        </w:rPr>
        <w:t xml:space="preserve">анк» ОАО </w:t>
      </w:r>
      <w:r w:rsidR="00E73D90" w:rsidRPr="00EC4F86">
        <w:rPr>
          <w:rFonts w:ascii="Century Gothic" w:hAnsi="Century Gothic" w:cs="Arial"/>
          <w:sz w:val="32"/>
          <w:szCs w:val="32"/>
        </w:rPr>
        <w:t xml:space="preserve">(Раздел </w:t>
      </w:r>
      <w:r w:rsidR="00E73D90" w:rsidRPr="00EC4F86">
        <w:rPr>
          <w:rFonts w:ascii="Century Gothic" w:hAnsi="Century Gothic" w:cs="Arial"/>
          <w:sz w:val="32"/>
          <w:szCs w:val="32"/>
          <w:lang w:val="en-US"/>
        </w:rPr>
        <w:t>IV</w:t>
      </w:r>
      <w:r w:rsidR="00E73D90" w:rsidRPr="00EC4F86">
        <w:rPr>
          <w:rFonts w:ascii="Century Gothic" w:hAnsi="Century Gothic" w:cs="Arial"/>
          <w:sz w:val="32"/>
          <w:szCs w:val="32"/>
        </w:rPr>
        <w:t xml:space="preserve">, Глава 4, п. 4.2.4) </w:t>
      </w:r>
      <w:r w:rsidR="008D1C04" w:rsidRPr="00561C70">
        <w:rPr>
          <w:rFonts w:ascii="Century Gothic" w:hAnsi="Century Gothic" w:cs="Arial"/>
          <w:b/>
          <w:sz w:val="32"/>
          <w:szCs w:val="32"/>
          <w:u w:val="single"/>
        </w:rPr>
        <w:t>с 01.11</w:t>
      </w:r>
      <w:r w:rsidR="00AD734F" w:rsidRPr="00561C70">
        <w:rPr>
          <w:rFonts w:ascii="Century Gothic" w:hAnsi="Century Gothic" w:cs="Arial"/>
          <w:b/>
          <w:sz w:val="32"/>
          <w:szCs w:val="32"/>
          <w:u w:val="single"/>
        </w:rPr>
        <w:t>.201</w:t>
      </w:r>
      <w:r w:rsidR="008D1C04" w:rsidRPr="00561C70">
        <w:rPr>
          <w:rFonts w:ascii="Century Gothic" w:hAnsi="Century Gothic" w:cs="Arial"/>
          <w:b/>
          <w:sz w:val="32"/>
          <w:szCs w:val="32"/>
          <w:u w:val="single"/>
        </w:rPr>
        <w:t>9</w:t>
      </w:r>
      <w:r w:rsidR="00AD734F" w:rsidRPr="00EC4F86">
        <w:rPr>
          <w:rFonts w:ascii="Century Gothic" w:hAnsi="Century Gothic" w:cs="Arial"/>
          <w:b/>
          <w:sz w:val="32"/>
          <w:szCs w:val="32"/>
        </w:rPr>
        <w:t xml:space="preserve"> </w:t>
      </w:r>
      <w:r w:rsidR="008D1C04" w:rsidRPr="00EC4F86">
        <w:rPr>
          <w:rFonts w:ascii="Century Gothic" w:hAnsi="Century Gothic" w:cs="Arial"/>
          <w:sz w:val="32"/>
          <w:szCs w:val="32"/>
        </w:rPr>
        <w:t xml:space="preserve">договоры срочных </w:t>
      </w:r>
      <w:r w:rsidR="00167AAA" w:rsidRPr="00EC4F86">
        <w:rPr>
          <w:rFonts w:ascii="Century Gothic" w:hAnsi="Century Gothic" w:cs="Arial"/>
          <w:sz w:val="32"/>
          <w:szCs w:val="32"/>
        </w:rPr>
        <w:t xml:space="preserve">отзывных </w:t>
      </w:r>
      <w:r w:rsidR="008D1C04" w:rsidRPr="00EC4F86">
        <w:rPr>
          <w:rFonts w:ascii="Century Gothic" w:hAnsi="Century Gothic" w:cs="Arial"/>
          <w:sz w:val="32"/>
          <w:szCs w:val="32"/>
        </w:rPr>
        <w:t>банковских вкладов в белорусских рублях</w:t>
      </w:r>
      <w:r w:rsidR="00561C70">
        <w:rPr>
          <w:rFonts w:ascii="Century Gothic" w:hAnsi="Century Gothic" w:cs="Arial"/>
          <w:sz w:val="32"/>
          <w:szCs w:val="32"/>
        </w:rPr>
        <w:t xml:space="preserve"> </w:t>
      </w:r>
      <w:r w:rsidR="00561C70" w:rsidRPr="00561C70">
        <w:rPr>
          <w:rFonts w:ascii="Century Gothic" w:hAnsi="Century Gothic" w:cs="Arial"/>
          <w:b/>
          <w:sz w:val="32"/>
          <w:szCs w:val="32"/>
          <w:u w:val="single"/>
        </w:rPr>
        <w:t>сроком на 1 месяц</w:t>
      </w:r>
      <w:r>
        <w:rPr>
          <w:rFonts w:ascii="Century Gothic" w:hAnsi="Century Gothic" w:cs="Arial"/>
          <w:sz w:val="32"/>
          <w:szCs w:val="32"/>
        </w:rPr>
        <w:t>:</w:t>
      </w:r>
    </w:p>
    <w:p w:rsidR="00EC4F86" w:rsidRPr="00EC4F86" w:rsidRDefault="008D1C04" w:rsidP="00AD734F">
      <w:pPr>
        <w:pStyle w:val="pp"/>
        <w:jc w:val="both"/>
        <w:textAlignment w:val="top"/>
        <w:rPr>
          <w:rFonts w:ascii="Century Gothic" w:hAnsi="Century Gothic" w:cs="Arial"/>
          <w:b/>
          <w:sz w:val="32"/>
          <w:szCs w:val="32"/>
        </w:rPr>
      </w:pPr>
      <w:r w:rsidRPr="00EC4F86">
        <w:rPr>
          <w:rFonts w:ascii="Century Gothic" w:hAnsi="Century Gothic" w:cs="Arial"/>
          <w:b/>
          <w:sz w:val="32"/>
          <w:szCs w:val="32"/>
        </w:rPr>
        <w:t xml:space="preserve">«Пять звезд» </w:t>
      </w:r>
      <w:r w:rsidRPr="00EC4F86">
        <w:rPr>
          <w:rFonts w:ascii="Century Gothic" w:hAnsi="Century Gothic" w:cs="Arial"/>
          <w:sz w:val="32"/>
          <w:szCs w:val="32"/>
        </w:rPr>
        <w:t>(646</w:t>
      </w:r>
      <w:r w:rsidR="00EC4F86">
        <w:rPr>
          <w:rFonts w:ascii="Century Gothic" w:hAnsi="Century Gothic" w:cs="Arial"/>
          <w:sz w:val="32"/>
          <w:szCs w:val="32"/>
        </w:rPr>
        <w:t>);</w:t>
      </w:r>
    </w:p>
    <w:p w:rsidR="00EC4F86" w:rsidRPr="00EC4F86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32"/>
          <w:szCs w:val="32"/>
        </w:rPr>
      </w:pPr>
      <w:r w:rsidRPr="00EC4F86">
        <w:rPr>
          <w:rFonts w:ascii="Century Gothic" w:hAnsi="Century Gothic" w:cs="Arial"/>
          <w:b/>
          <w:sz w:val="32"/>
          <w:szCs w:val="32"/>
        </w:rPr>
        <w:t>«Пенс</w:t>
      </w:r>
      <w:r w:rsidR="00EC4F86" w:rsidRPr="00EC4F86">
        <w:rPr>
          <w:rFonts w:ascii="Century Gothic" w:hAnsi="Century Gothic" w:cs="Arial"/>
          <w:b/>
          <w:sz w:val="32"/>
          <w:szCs w:val="32"/>
        </w:rPr>
        <w:t xml:space="preserve">ионный плюс» </w:t>
      </w:r>
      <w:r w:rsidRPr="00EC4F86">
        <w:rPr>
          <w:rFonts w:ascii="Century Gothic" w:hAnsi="Century Gothic" w:cs="Arial"/>
          <w:sz w:val="32"/>
          <w:szCs w:val="32"/>
        </w:rPr>
        <w:t>(647</w:t>
      </w:r>
      <w:r w:rsidR="00EC4F86">
        <w:rPr>
          <w:rFonts w:ascii="Century Gothic" w:hAnsi="Century Gothic" w:cs="Arial"/>
          <w:sz w:val="32"/>
          <w:szCs w:val="32"/>
        </w:rPr>
        <w:t>);</w:t>
      </w:r>
    </w:p>
    <w:p w:rsidR="00EC4F86" w:rsidRPr="00EC4F86" w:rsidRDefault="008D1C04" w:rsidP="00AD734F">
      <w:pPr>
        <w:pStyle w:val="pp"/>
        <w:jc w:val="both"/>
        <w:textAlignment w:val="top"/>
        <w:rPr>
          <w:rFonts w:ascii="Century Gothic" w:hAnsi="Century Gothic" w:cs="Arial"/>
          <w:b/>
          <w:sz w:val="32"/>
          <w:szCs w:val="32"/>
        </w:rPr>
      </w:pPr>
      <w:r w:rsidRPr="00EC4F86">
        <w:rPr>
          <w:rFonts w:ascii="Century Gothic" w:hAnsi="Century Gothic" w:cs="Arial"/>
          <w:b/>
          <w:sz w:val="32"/>
          <w:szCs w:val="32"/>
        </w:rPr>
        <w:t xml:space="preserve">«Пять звезд с перечислением процентов» </w:t>
      </w:r>
      <w:r w:rsidRPr="00EC4F86">
        <w:rPr>
          <w:rFonts w:ascii="Century Gothic" w:hAnsi="Century Gothic" w:cs="Arial"/>
          <w:sz w:val="32"/>
          <w:szCs w:val="32"/>
        </w:rPr>
        <w:t>(650)</w:t>
      </w:r>
      <w:r w:rsidR="00EC4F86">
        <w:rPr>
          <w:rFonts w:ascii="Century Gothic" w:hAnsi="Century Gothic" w:cs="Arial"/>
          <w:sz w:val="32"/>
          <w:szCs w:val="32"/>
        </w:rPr>
        <w:t>;</w:t>
      </w:r>
    </w:p>
    <w:p w:rsidR="00EC4F86" w:rsidRPr="00EC4F86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32"/>
          <w:szCs w:val="32"/>
        </w:rPr>
      </w:pPr>
      <w:r w:rsidRPr="00EC4F86">
        <w:rPr>
          <w:rFonts w:ascii="Century Gothic" w:hAnsi="Century Gothic" w:cs="Arial"/>
          <w:b/>
          <w:sz w:val="32"/>
          <w:szCs w:val="32"/>
        </w:rPr>
        <w:t xml:space="preserve">«Выше.net» </w:t>
      </w:r>
      <w:r w:rsidRPr="00EC4F86">
        <w:rPr>
          <w:rFonts w:ascii="Century Gothic" w:hAnsi="Century Gothic" w:cs="Arial"/>
          <w:sz w:val="32"/>
          <w:szCs w:val="32"/>
        </w:rPr>
        <w:t>(655)</w:t>
      </w:r>
    </w:p>
    <w:p w:rsidR="008D1C04" w:rsidRPr="00EC4F86" w:rsidRDefault="008D1C04" w:rsidP="00AD734F">
      <w:pPr>
        <w:pStyle w:val="pp"/>
        <w:jc w:val="both"/>
        <w:textAlignment w:val="top"/>
        <w:rPr>
          <w:rFonts w:ascii="Century Gothic" w:hAnsi="Century Gothic" w:cs="Arial"/>
          <w:b/>
          <w:sz w:val="32"/>
          <w:szCs w:val="32"/>
        </w:rPr>
      </w:pPr>
      <w:r w:rsidRPr="00561C70">
        <w:rPr>
          <w:rFonts w:ascii="Century Gothic" w:hAnsi="Century Gothic" w:cs="Arial"/>
          <w:b/>
          <w:sz w:val="32"/>
          <w:szCs w:val="32"/>
          <w:u w:val="single"/>
        </w:rPr>
        <w:t>перезаключаться не будут</w:t>
      </w:r>
      <w:r w:rsidRPr="00EC4F86">
        <w:rPr>
          <w:rFonts w:ascii="Century Gothic" w:hAnsi="Century Gothic" w:cs="Arial"/>
          <w:b/>
          <w:sz w:val="32"/>
          <w:szCs w:val="32"/>
        </w:rPr>
        <w:t>.</w:t>
      </w:r>
    </w:p>
    <w:p w:rsidR="008D1C04" w:rsidRPr="00EC4F86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16"/>
          <w:szCs w:val="16"/>
        </w:rPr>
      </w:pPr>
    </w:p>
    <w:p w:rsidR="008D1C04" w:rsidRPr="00EC4F86" w:rsidRDefault="00EC4F86" w:rsidP="00AD734F">
      <w:pPr>
        <w:pStyle w:val="pp"/>
        <w:jc w:val="both"/>
        <w:textAlignment w:val="top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     </w:t>
      </w:r>
      <w:r w:rsidR="008D1C04" w:rsidRPr="00EC4F86">
        <w:rPr>
          <w:rFonts w:ascii="Century Gothic" w:hAnsi="Century Gothic" w:cs="Arial"/>
          <w:sz w:val="32"/>
          <w:szCs w:val="32"/>
        </w:rPr>
        <w:t xml:space="preserve">В случае </w:t>
      </w:r>
      <w:proofErr w:type="spellStart"/>
      <w:r w:rsidR="008D1C04" w:rsidRPr="00EC4F86">
        <w:rPr>
          <w:rFonts w:ascii="Century Gothic" w:hAnsi="Century Gothic" w:cs="Arial"/>
          <w:sz w:val="32"/>
          <w:szCs w:val="32"/>
        </w:rPr>
        <w:t>невостребования</w:t>
      </w:r>
      <w:proofErr w:type="spellEnd"/>
      <w:r w:rsidR="008D1C04" w:rsidRPr="00EC4F86">
        <w:rPr>
          <w:rFonts w:ascii="Century Gothic" w:hAnsi="Century Gothic" w:cs="Arial"/>
          <w:sz w:val="32"/>
          <w:szCs w:val="32"/>
        </w:rPr>
        <w:t xml:space="preserve"> указанных вкладов </w:t>
      </w:r>
      <w:r w:rsidR="008D1C04" w:rsidRPr="00561C70">
        <w:rPr>
          <w:rFonts w:ascii="Century Gothic" w:hAnsi="Century Gothic" w:cs="Arial"/>
          <w:sz w:val="32"/>
          <w:szCs w:val="32"/>
        </w:rPr>
        <w:t>до 01.11.2019</w:t>
      </w:r>
      <w:r w:rsidR="00167AAA" w:rsidRPr="00EC4F86">
        <w:rPr>
          <w:rFonts w:ascii="Century Gothic" w:hAnsi="Century Gothic" w:cs="Arial"/>
          <w:sz w:val="32"/>
          <w:szCs w:val="32"/>
        </w:rPr>
        <w:t>, с 01.11.2019 о</w:t>
      </w:r>
      <w:r w:rsidR="008D1C04" w:rsidRPr="00EC4F86">
        <w:rPr>
          <w:rFonts w:ascii="Century Gothic" w:hAnsi="Century Gothic" w:cs="Arial"/>
          <w:sz w:val="32"/>
          <w:szCs w:val="32"/>
        </w:rPr>
        <w:t xml:space="preserve">статки по </w:t>
      </w:r>
      <w:r w:rsidR="00167AAA" w:rsidRPr="00EC4F86">
        <w:rPr>
          <w:rFonts w:ascii="Century Gothic" w:hAnsi="Century Gothic" w:cs="Arial"/>
          <w:sz w:val="32"/>
          <w:szCs w:val="32"/>
        </w:rPr>
        <w:t xml:space="preserve">данным </w:t>
      </w:r>
      <w:r w:rsidR="008D1C04" w:rsidRPr="00EC4F86">
        <w:rPr>
          <w:rFonts w:ascii="Century Gothic" w:hAnsi="Century Gothic" w:cs="Arial"/>
          <w:sz w:val="32"/>
          <w:szCs w:val="32"/>
        </w:rPr>
        <w:t xml:space="preserve">вкладам </w:t>
      </w:r>
      <w:r w:rsidR="00E73D90" w:rsidRPr="00EC4F86">
        <w:rPr>
          <w:rFonts w:ascii="Century Gothic" w:hAnsi="Century Gothic" w:cs="Arial"/>
          <w:sz w:val="32"/>
          <w:szCs w:val="32"/>
        </w:rPr>
        <w:t>по</w:t>
      </w:r>
      <w:r w:rsidR="00167AAA" w:rsidRPr="00EC4F86">
        <w:rPr>
          <w:rFonts w:ascii="Century Gothic" w:hAnsi="Century Gothic" w:cs="Arial"/>
          <w:sz w:val="32"/>
          <w:szCs w:val="32"/>
        </w:rPr>
        <w:t xml:space="preserve"> окончании срока действия </w:t>
      </w:r>
      <w:r w:rsidR="00303017" w:rsidRPr="00EC4F86">
        <w:rPr>
          <w:rFonts w:ascii="Century Gothic" w:hAnsi="Century Gothic" w:cs="Arial"/>
          <w:sz w:val="32"/>
          <w:szCs w:val="32"/>
        </w:rPr>
        <w:t xml:space="preserve">будут </w:t>
      </w:r>
      <w:r w:rsidR="008D1C04" w:rsidRPr="00EC4F86">
        <w:rPr>
          <w:rFonts w:ascii="Century Gothic" w:hAnsi="Century Gothic" w:cs="Arial"/>
          <w:sz w:val="32"/>
          <w:szCs w:val="32"/>
        </w:rPr>
        <w:t>перечисля</w:t>
      </w:r>
      <w:r w:rsidR="00167AAA" w:rsidRPr="00EC4F86">
        <w:rPr>
          <w:rFonts w:ascii="Century Gothic" w:hAnsi="Century Gothic" w:cs="Arial"/>
          <w:sz w:val="32"/>
          <w:szCs w:val="32"/>
        </w:rPr>
        <w:t>т</w:t>
      </w:r>
      <w:r w:rsidR="00303017" w:rsidRPr="00EC4F86">
        <w:rPr>
          <w:rFonts w:ascii="Century Gothic" w:hAnsi="Century Gothic" w:cs="Arial"/>
          <w:sz w:val="32"/>
          <w:szCs w:val="32"/>
        </w:rPr>
        <w:t>ь</w:t>
      </w:r>
      <w:r w:rsidR="00167AAA" w:rsidRPr="00EC4F86">
        <w:rPr>
          <w:rFonts w:ascii="Century Gothic" w:hAnsi="Century Gothic" w:cs="Arial"/>
          <w:sz w:val="32"/>
          <w:szCs w:val="32"/>
        </w:rPr>
        <w:t>ся</w:t>
      </w:r>
      <w:r w:rsidR="008D1C04" w:rsidRPr="00EC4F86">
        <w:rPr>
          <w:rFonts w:ascii="Century Gothic" w:hAnsi="Century Gothic" w:cs="Arial"/>
          <w:sz w:val="32"/>
          <w:szCs w:val="32"/>
        </w:rPr>
        <w:t xml:space="preserve"> </w:t>
      </w:r>
      <w:r w:rsidR="00F86C70">
        <w:rPr>
          <w:rFonts w:ascii="Century Gothic" w:hAnsi="Century Gothic" w:cs="Arial"/>
          <w:sz w:val="32"/>
          <w:szCs w:val="32"/>
        </w:rPr>
        <w:t xml:space="preserve">на соответствующий счет банка </w:t>
      </w:r>
      <w:bookmarkStart w:id="0" w:name="_GoBack"/>
      <w:bookmarkEnd w:id="0"/>
      <w:r w:rsidR="008D1C04" w:rsidRPr="00EC4F86">
        <w:rPr>
          <w:rFonts w:ascii="Century Gothic" w:hAnsi="Century Gothic" w:cs="Arial"/>
          <w:sz w:val="32"/>
          <w:szCs w:val="32"/>
        </w:rPr>
        <w:t>для дальнейшей выдачи клиентам</w:t>
      </w:r>
      <w:r w:rsidR="00167AAA" w:rsidRPr="00EC4F86">
        <w:rPr>
          <w:rFonts w:ascii="Century Gothic" w:hAnsi="Century Gothic" w:cs="Arial"/>
          <w:sz w:val="32"/>
          <w:szCs w:val="32"/>
        </w:rPr>
        <w:t>.</w:t>
      </w:r>
    </w:p>
    <w:p w:rsidR="008D1C04" w:rsidRPr="00EC4F86" w:rsidRDefault="008D1C04" w:rsidP="00AD734F">
      <w:pPr>
        <w:pStyle w:val="pp"/>
        <w:jc w:val="both"/>
        <w:textAlignment w:val="top"/>
        <w:rPr>
          <w:rFonts w:ascii="Times New Roman" w:hAnsi="Times New Roman"/>
          <w:color w:val="000000"/>
          <w:sz w:val="32"/>
          <w:szCs w:val="32"/>
        </w:rPr>
      </w:pPr>
    </w:p>
    <w:p w:rsidR="008D1C04" w:rsidRPr="00EC4F86" w:rsidRDefault="008D1C04" w:rsidP="00AD734F">
      <w:pPr>
        <w:pStyle w:val="pp"/>
        <w:jc w:val="both"/>
        <w:textAlignment w:val="top"/>
        <w:rPr>
          <w:rFonts w:ascii="Times New Roman" w:hAnsi="Times New Roman"/>
          <w:color w:val="000000"/>
          <w:sz w:val="32"/>
          <w:szCs w:val="32"/>
        </w:rPr>
      </w:pPr>
    </w:p>
    <w:p w:rsidR="008D1C04" w:rsidRPr="00EC4F86" w:rsidRDefault="008D1C04" w:rsidP="00AD734F">
      <w:pPr>
        <w:pStyle w:val="pp"/>
        <w:jc w:val="both"/>
        <w:textAlignment w:val="top"/>
        <w:rPr>
          <w:rFonts w:ascii="Times New Roman" w:hAnsi="Times New Roman"/>
          <w:color w:val="000000"/>
          <w:sz w:val="32"/>
          <w:szCs w:val="32"/>
        </w:rPr>
      </w:pPr>
    </w:p>
    <w:p w:rsidR="008D1C04" w:rsidRPr="00EC4F86" w:rsidRDefault="008D1C04" w:rsidP="00AD734F">
      <w:pPr>
        <w:pStyle w:val="pp"/>
        <w:jc w:val="both"/>
        <w:textAlignment w:val="top"/>
        <w:rPr>
          <w:rFonts w:ascii="Times New Roman" w:hAnsi="Times New Roman"/>
          <w:color w:val="000000"/>
          <w:sz w:val="32"/>
          <w:szCs w:val="32"/>
        </w:rPr>
      </w:pPr>
    </w:p>
    <w:p w:rsidR="008D1C04" w:rsidRDefault="008D1C04" w:rsidP="00AD734F">
      <w:pPr>
        <w:pStyle w:val="pp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8D1C04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8D1C04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8D1C04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8D1C04" w:rsidRDefault="008D1C04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E32250" w:rsidRPr="00AD734F" w:rsidRDefault="00E32250" w:rsidP="00AD734F">
      <w:pPr>
        <w:pStyle w:val="pp"/>
        <w:textAlignment w:val="top"/>
        <w:rPr>
          <w:rFonts w:ascii="Century Gothic" w:hAnsi="Century Gothic" w:cs="Arial"/>
          <w:sz w:val="28"/>
          <w:szCs w:val="28"/>
        </w:rPr>
      </w:pPr>
      <w:r w:rsidRPr="00E32250">
        <w:rPr>
          <w:rFonts w:cs="Verdana"/>
          <w:color w:val="2F2F2F"/>
          <w:sz w:val="20"/>
          <w:szCs w:val="20"/>
        </w:rPr>
        <w:br/>
      </w:r>
    </w:p>
    <w:p w:rsidR="00A82E60" w:rsidRPr="00E32250" w:rsidRDefault="00A82E60" w:rsidP="00E32250">
      <w:pPr>
        <w:spacing w:after="0" w:line="240" w:lineRule="auto"/>
        <w:jc w:val="center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371E5C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371E5C" w:rsidRDefault="00371E5C" w:rsidP="00371E5C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  <w:sectPr w:rsidR="00371E5C" w:rsidSect="00371E5C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sectPr w:rsidR="00A82E60" w:rsidRPr="00E32250" w:rsidSect="004939B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49" w:rsidRDefault="00366D49" w:rsidP="00FB5BD3">
      <w:pPr>
        <w:spacing w:after="0" w:line="240" w:lineRule="auto"/>
      </w:pPr>
      <w:r>
        <w:separator/>
      </w:r>
    </w:p>
  </w:endnote>
  <w:endnote w:type="continuationSeparator" w:id="0">
    <w:p w:rsidR="00366D49" w:rsidRDefault="00366D49" w:rsidP="00F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49" w:rsidRDefault="00366D49" w:rsidP="00FB5BD3">
      <w:pPr>
        <w:spacing w:after="0" w:line="240" w:lineRule="auto"/>
      </w:pPr>
      <w:r>
        <w:separator/>
      </w:r>
    </w:p>
  </w:footnote>
  <w:footnote w:type="continuationSeparator" w:id="0">
    <w:p w:rsidR="00366D49" w:rsidRDefault="00366D49" w:rsidP="00F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D3" w:rsidRDefault="0099520F" w:rsidP="00EC4F86">
    <w:pPr>
      <w:pStyle w:val="a6"/>
      <w:jc w:val="center"/>
    </w:pPr>
    <w:r>
      <w:rPr>
        <w:noProof/>
        <w:lang w:val="ru-RU" w:eastAsia="ru-RU"/>
      </w:rPr>
      <w:drawing>
        <wp:inline distT="0" distB="0" distL="0" distR="0" wp14:anchorId="7AFF1F1D" wp14:editId="28599153">
          <wp:extent cx="2797810" cy="323073"/>
          <wp:effectExtent l="0" t="0" r="2540" b="1270"/>
          <wp:docPr id="1" name="Рисунок 1" descr="https://www.priorbank.by/documents/144974/1717427/PNG_%D1%80%D1%83%D1%81.png/edce8c56-f40d-4a32-b0e9-619f9fd8663a?t=1502804337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iorbank.by/documents/144974/1717427/PNG_%D1%80%D1%83%D1%81.png/edce8c56-f40d-4a32-b0e9-619f9fd8663a?t=15028043379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555" cy="3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52B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F06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6"/>
    <w:rsid w:val="00007FCE"/>
    <w:rsid w:val="0003262A"/>
    <w:rsid w:val="0005157F"/>
    <w:rsid w:val="000859E0"/>
    <w:rsid w:val="000E1869"/>
    <w:rsid w:val="00167AAA"/>
    <w:rsid w:val="001D40A4"/>
    <w:rsid w:val="001E0EBD"/>
    <w:rsid w:val="00224B28"/>
    <w:rsid w:val="0025715E"/>
    <w:rsid w:val="00261AE3"/>
    <w:rsid w:val="00280230"/>
    <w:rsid w:val="0028610C"/>
    <w:rsid w:val="00303017"/>
    <w:rsid w:val="00305043"/>
    <w:rsid w:val="00317890"/>
    <w:rsid w:val="003321A2"/>
    <w:rsid w:val="003560BF"/>
    <w:rsid w:val="00366D49"/>
    <w:rsid w:val="00371E5C"/>
    <w:rsid w:val="00426FF6"/>
    <w:rsid w:val="004660FC"/>
    <w:rsid w:val="00481D4C"/>
    <w:rsid w:val="004939B9"/>
    <w:rsid w:val="004959B3"/>
    <w:rsid w:val="004A3548"/>
    <w:rsid w:val="004A56F2"/>
    <w:rsid w:val="004B17BE"/>
    <w:rsid w:val="004D4B7C"/>
    <w:rsid w:val="005027D0"/>
    <w:rsid w:val="00524138"/>
    <w:rsid w:val="005425B8"/>
    <w:rsid w:val="00543C5E"/>
    <w:rsid w:val="00561C70"/>
    <w:rsid w:val="00574CBE"/>
    <w:rsid w:val="005D2C32"/>
    <w:rsid w:val="00603D51"/>
    <w:rsid w:val="006563D3"/>
    <w:rsid w:val="006704F7"/>
    <w:rsid w:val="006714EB"/>
    <w:rsid w:val="0068712D"/>
    <w:rsid w:val="00695470"/>
    <w:rsid w:val="006D7C82"/>
    <w:rsid w:val="006F239D"/>
    <w:rsid w:val="006F65A8"/>
    <w:rsid w:val="007064A1"/>
    <w:rsid w:val="0070705A"/>
    <w:rsid w:val="00746B9C"/>
    <w:rsid w:val="007638C5"/>
    <w:rsid w:val="00763C03"/>
    <w:rsid w:val="00797B2F"/>
    <w:rsid w:val="007E15EE"/>
    <w:rsid w:val="00847090"/>
    <w:rsid w:val="00871E1B"/>
    <w:rsid w:val="0087763C"/>
    <w:rsid w:val="008956FA"/>
    <w:rsid w:val="008D1C04"/>
    <w:rsid w:val="008D76D3"/>
    <w:rsid w:val="00901E62"/>
    <w:rsid w:val="0090257C"/>
    <w:rsid w:val="00912F0D"/>
    <w:rsid w:val="00952DB8"/>
    <w:rsid w:val="0096166D"/>
    <w:rsid w:val="00971674"/>
    <w:rsid w:val="0099520F"/>
    <w:rsid w:val="00995C7B"/>
    <w:rsid w:val="009B4556"/>
    <w:rsid w:val="009F3A59"/>
    <w:rsid w:val="00A0084C"/>
    <w:rsid w:val="00A21017"/>
    <w:rsid w:val="00A54BEB"/>
    <w:rsid w:val="00A54EB8"/>
    <w:rsid w:val="00A56AAE"/>
    <w:rsid w:val="00A82E60"/>
    <w:rsid w:val="00A95061"/>
    <w:rsid w:val="00AA07F6"/>
    <w:rsid w:val="00AD6BA8"/>
    <w:rsid w:val="00AD734F"/>
    <w:rsid w:val="00B02B4F"/>
    <w:rsid w:val="00B41693"/>
    <w:rsid w:val="00B465D1"/>
    <w:rsid w:val="00B50572"/>
    <w:rsid w:val="00B552DA"/>
    <w:rsid w:val="00B6421E"/>
    <w:rsid w:val="00B80D5D"/>
    <w:rsid w:val="00B84097"/>
    <w:rsid w:val="00B90BB5"/>
    <w:rsid w:val="00B91B50"/>
    <w:rsid w:val="00B945A0"/>
    <w:rsid w:val="00BC1847"/>
    <w:rsid w:val="00BD5178"/>
    <w:rsid w:val="00C406E7"/>
    <w:rsid w:val="00C579BD"/>
    <w:rsid w:val="00C90C9F"/>
    <w:rsid w:val="00CD61EA"/>
    <w:rsid w:val="00D218E6"/>
    <w:rsid w:val="00D22BDD"/>
    <w:rsid w:val="00D379C8"/>
    <w:rsid w:val="00D944B7"/>
    <w:rsid w:val="00DA6472"/>
    <w:rsid w:val="00DF70A2"/>
    <w:rsid w:val="00E07878"/>
    <w:rsid w:val="00E32250"/>
    <w:rsid w:val="00E51162"/>
    <w:rsid w:val="00E52493"/>
    <w:rsid w:val="00E5399E"/>
    <w:rsid w:val="00E61CAA"/>
    <w:rsid w:val="00E73D90"/>
    <w:rsid w:val="00E91E77"/>
    <w:rsid w:val="00EC4F86"/>
    <w:rsid w:val="00ED0A07"/>
    <w:rsid w:val="00EE7B1D"/>
    <w:rsid w:val="00F013F0"/>
    <w:rsid w:val="00F12A71"/>
    <w:rsid w:val="00F15FF9"/>
    <w:rsid w:val="00F34E3C"/>
    <w:rsid w:val="00F365B8"/>
    <w:rsid w:val="00F73504"/>
    <w:rsid w:val="00F86C70"/>
    <w:rsid w:val="00FB5BD3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C920"/>
  <w15:docId w15:val="{A19DF0DC-BE3F-4C87-934D-13B3927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2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3"/>
    <w:rPr>
      <w:lang w:val="en-US"/>
    </w:rPr>
  </w:style>
  <w:style w:type="paragraph" w:styleId="a8">
    <w:name w:val="footer"/>
    <w:basedOn w:val="a"/>
    <w:link w:val="a9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3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D3"/>
    <w:rPr>
      <w:rFonts w:ascii="Tahoma" w:hAnsi="Tahoma" w:cs="Tahoma"/>
      <w:sz w:val="16"/>
      <w:szCs w:val="16"/>
      <w:lang w:val="en-US"/>
    </w:rPr>
  </w:style>
  <w:style w:type="paragraph" w:customStyle="1" w:styleId="pp">
    <w:name w:val="p_p"/>
    <w:basedOn w:val="a"/>
    <w:rsid w:val="00AD734F"/>
    <w:pPr>
      <w:spacing w:after="0" w:line="240" w:lineRule="auto"/>
    </w:pPr>
    <w:rPr>
      <w:rFonts w:ascii="Verdana" w:eastAsia="Times New Roman" w:hAnsi="Verdana" w:cs="Times New Roman"/>
      <w:color w:val="333333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0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3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9904-34E0-402D-93CE-B0F6274A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B. Trudolyubova</dc:creator>
  <cp:lastModifiedBy>Olga Goloborodko</cp:lastModifiedBy>
  <cp:revision>6</cp:revision>
  <cp:lastPrinted>2017-02-20T13:39:00Z</cp:lastPrinted>
  <dcterms:created xsi:type="dcterms:W3CDTF">2019-09-27T10:51:00Z</dcterms:created>
  <dcterms:modified xsi:type="dcterms:W3CDTF">2019-09-27T12:11:00Z</dcterms:modified>
</cp:coreProperties>
</file>