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BF" w:firstRow="1" w:lastRow="0" w:firstColumn="1" w:lastColumn="0" w:noHBand="0" w:noVBand="0"/>
      </w:tblPr>
      <w:tblGrid>
        <w:gridCol w:w="6180"/>
        <w:gridCol w:w="3601"/>
      </w:tblGrid>
      <w:tr w:rsidR="00A818FF" w:rsidTr="00D2119B">
        <w:tc>
          <w:tcPr>
            <w:tcW w:w="9781" w:type="dxa"/>
            <w:gridSpan w:val="2"/>
          </w:tcPr>
          <w:p w:rsidR="00D2119B" w:rsidRDefault="00D2119B">
            <w:pPr>
              <w:keepNext/>
              <w:keepLines/>
              <w:autoSpaceDE w:val="0"/>
              <w:autoSpaceDN w:val="0"/>
              <w:adjustRightInd w:val="0"/>
              <w:spacing w:after="0" w:line="240" w:lineRule="auto"/>
              <w:ind w:firstLine="260"/>
              <w:jc w:val="both"/>
              <w:rPr>
                <w:rFonts w:ascii="Times New Roman CYR" w:hAnsi="Times New Roman CYR" w:cs="Times New Roman CYR"/>
                <w:color w:val="000000"/>
                <w:sz w:val="28"/>
                <w:szCs w:val="28"/>
              </w:rPr>
            </w:pPr>
            <w:bookmarkStart w:id="0" w:name="_GoBack"/>
            <w:bookmarkEnd w:id="0"/>
          </w:p>
          <w:p w:rsidR="00D2119B" w:rsidRDefault="00D2119B">
            <w:pPr>
              <w:keepNext/>
              <w:keepLines/>
              <w:autoSpaceDE w:val="0"/>
              <w:autoSpaceDN w:val="0"/>
              <w:adjustRightInd w:val="0"/>
              <w:spacing w:after="0" w:line="240" w:lineRule="auto"/>
              <w:ind w:firstLine="260"/>
              <w:jc w:val="both"/>
              <w:rPr>
                <w:rFonts w:ascii="Times New Roman CYR" w:hAnsi="Times New Roman CYR" w:cs="Times New Roman CYR"/>
                <w:color w:val="000000"/>
                <w:sz w:val="28"/>
                <w:szCs w:val="28"/>
              </w:rPr>
            </w:pPr>
          </w:p>
          <w:p w:rsidR="00D2119B" w:rsidRPr="00D2119B" w:rsidRDefault="00D2119B" w:rsidP="00D2119B">
            <w:pPr>
              <w:autoSpaceDE w:val="0"/>
              <w:autoSpaceDN w:val="0"/>
              <w:adjustRightInd w:val="0"/>
              <w:spacing w:after="0" w:line="240" w:lineRule="auto"/>
              <w:rPr>
                <w:rFonts w:ascii="Tms Rmn" w:hAnsi="Tms Rmn"/>
                <w:sz w:val="24"/>
                <w:szCs w:val="24"/>
              </w:rPr>
            </w:pPr>
            <w:r w:rsidRPr="00D2119B">
              <w:rPr>
                <w:rFonts w:ascii="Tms Rmn" w:hAnsi="Tms Rmn"/>
                <w:sz w:val="24"/>
                <w:szCs w:val="24"/>
              </w:rPr>
              <w:t>Национальный банк РБ</w:t>
            </w:r>
          </w:p>
          <w:p w:rsidR="00D2119B" w:rsidRPr="00D2119B" w:rsidRDefault="00D2119B" w:rsidP="00D2119B">
            <w:pPr>
              <w:autoSpaceDE w:val="0"/>
              <w:autoSpaceDN w:val="0"/>
              <w:adjustRightInd w:val="0"/>
              <w:spacing w:after="0" w:line="240" w:lineRule="auto"/>
              <w:rPr>
                <w:rFonts w:ascii="Tms Rmn" w:hAnsi="Tms Rmn"/>
                <w:sz w:val="24"/>
                <w:szCs w:val="24"/>
              </w:rPr>
            </w:pPr>
            <w:r w:rsidRPr="00D2119B">
              <w:rPr>
                <w:rFonts w:ascii="Tms Rmn" w:hAnsi="Tms Rmn"/>
                <w:sz w:val="24"/>
                <w:szCs w:val="24"/>
              </w:rPr>
              <w:t xml:space="preserve">16.07.2021 № 31-27/9279  </w:t>
            </w:r>
          </w:p>
          <w:p w:rsidR="00D2119B" w:rsidRDefault="00D2119B" w:rsidP="00D2119B">
            <w:pPr>
              <w:autoSpaceDE w:val="0"/>
              <w:autoSpaceDN w:val="0"/>
              <w:adjustRightInd w:val="0"/>
              <w:spacing w:after="0" w:line="240" w:lineRule="auto"/>
              <w:rPr>
                <w:rFonts w:ascii="Tms Rmn" w:hAnsi="Tms Rmn"/>
                <w:sz w:val="24"/>
                <w:szCs w:val="24"/>
              </w:rPr>
            </w:pPr>
            <w:r w:rsidRPr="00D2119B">
              <w:rPr>
                <w:rFonts w:ascii="Tms Rmn" w:hAnsi="Tms Rmn"/>
                <w:sz w:val="24"/>
                <w:szCs w:val="24"/>
              </w:rPr>
              <w:t xml:space="preserve">На №  от  </w:t>
            </w:r>
          </w:p>
          <w:p w:rsidR="00D2119B" w:rsidRDefault="00D2119B">
            <w:pPr>
              <w:keepNext/>
              <w:keepLines/>
              <w:autoSpaceDE w:val="0"/>
              <w:autoSpaceDN w:val="0"/>
              <w:adjustRightInd w:val="0"/>
              <w:spacing w:after="0" w:line="240" w:lineRule="auto"/>
              <w:ind w:firstLine="260"/>
              <w:jc w:val="both"/>
              <w:rPr>
                <w:rFonts w:ascii="Times New Roman CYR" w:hAnsi="Times New Roman CYR" w:cs="Times New Roman CYR"/>
                <w:color w:val="000000"/>
                <w:sz w:val="28"/>
                <w:szCs w:val="28"/>
              </w:rPr>
            </w:pP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r>
              <w:rPr>
                <w:rFonts w:ascii="Times New Roman CYR" w:hAnsi="Times New Roman CYR" w:cs="Times New Roman CYR"/>
                <w:color w:val="000000"/>
                <w:sz w:val="28"/>
                <w:szCs w:val="28"/>
              </w:rPr>
              <w:t>О применении валютного законодательсва</w:t>
            </w: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r>
              <w:rPr>
                <w:rFonts w:ascii="Times New Roman" w:hAnsi="Times New Roman" w:cs="Times New Roman"/>
                <w:color w:val="000000"/>
                <w:sz w:val="30"/>
                <w:szCs w:val="30"/>
              </w:rPr>
              <w:t>В связи с поступающими обращениями банков и субъектов хозяйствования в отношении сроков репатриации и сроков исполнения обязательств нерезидентами по валютным договорам, предусматривающим экспорт, импорт, Национальный банк сообщает следующее.</w:t>
            </w: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r>
              <w:rPr>
                <w:rFonts w:ascii="Times New Roman" w:hAnsi="Times New Roman" w:cs="Times New Roman"/>
                <w:color w:val="000000"/>
                <w:sz w:val="30"/>
                <w:szCs w:val="30"/>
              </w:rPr>
              <w:t>С 9 июля 2021 г. вступила в силу новая редакция Закона Республики Беларусь от 22 июля 2003 г. № 226-З ”О валютном регулировании и валютном контроле“ (далее – Закон № 226-З), а также Указ Президента Республики Беларусь от 8 июля 2021 г. № 265 ”Об изменении указов Президента Республики Беларусь“ (далее – Указ № 265). Указом № 265 внесены изменения в ряд указов, в том числе в Указ Президента Республики Беларусь от 27 марта 2008 г. № 178 ˮО порядке проведения и контроля внешнеторговых операций“ (далее – Указ № 178).</w:t>
            </w: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r>
              <w:rPr>
                <w:rFonts w:ascii="Times New Roman" w:hAnsi="Times New Roman" w:cs="Times New Roman"/>
                <w:color w:val="000000"/>
                <w:sz w:val="30"/>
                <w:szCs w:val="30"/>
              </w:rPr>
              <w:t>В частности, из Указа № 178 исключены положения, устанавливающие предельные сроки завершения внешнеторговых операций. Также исключены нормы о продлении сроков завершения внешнеторговых операций на основании разрешений Национального банка. Согласно предусмотренной в Законе № 226-З концепции сроки исполнения обязательств устанавливаются на договорной основе (по соглашению сторон) с учетом экономической целесообразности.</w:t>
            </w: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r>
              <w:rPr>
                <w:rFonts w:ascii="Times New Roman" w:hAnsi="Times New Roman" w:cs="Times New Roman"/>
                <w:color w:val="000000"/>
                <w:sz w:val="30"/>
                <w:szCs w:val="30"/>
              </w:rPr>
              <w:t>Нормативные правовые акты, принятые до 9 июля 2021 г. в развитие Указа № 178, будут приведены в соответствие с положениями Указа № 265 в установленном порядке.</w:t>
            </w: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r>
              <w:rPr>
                <w:rFonts w:ascii="Times New Roman" w:hAnsi="Times New Roman" w:cs="Times New Roman"/>
                <w:color w:val="000000"/>
                <w:sz w:val="30"/>
                <w:szCs w:val="30"/>
              </w:rPr>
              <w:t>Учитывая изложенное, начиная с 9 июля 2021 г. резидентам не требуется обращаться в Национальный банк за продлением сроков завершения внешнеторговых операций. Также с 9 июля 2021 г. не применяются в работе выданные Национальным банком разрешения на продление сроков завершения внешнеторговых операций. Сроки репатриации по валютным договорам, предусматривающим экспорт, импорт, в том числе по которым сроки завершения внешнеторговых операций были продлены разрешениями Национального банка, определяются резидентами исходя из условий этих договоров в соответствии с требованиями статьи 19 Закона № 226-З и главы 3 Инструкции о проведении валютных операций, утвержденной постановлением Правления Национального банка от 31 мая 2021 г. № 147.</w:t>
            </w: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r>
              <w:rPr>
                <w:rFonts w:ascii="Times New Roman" w:hAnsi="Times New Roman" w:cs="Times New Roman"/>
                <w:color w:val="000000"/>
                <w:sz w:val="30"/>
                <w:szCs w:val="30"/>
              </w:rPr>
              <w:lastRenderedPageBreak/>
              <w:t>Исходя из требований Закона № 226-З и Указа № 265, по валютным договорам, предусматривающим экспорт, импорт, по которым сроки исполнения обязательств нерезидентами наступили до вступления в силу Закона № 226-З, в целях определения сроков репатриации в качестве даты исполнения нерезидентом его обязательств следует рассматривать 9 июля 2021 г.</w:t>
            </w: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r>
              <w:rPr>
                <w:rFonts w:ascii="Times New Roman" w:hAnsi="Times New Roman" w:cs="Times New Roman"/>
                <w:color w:val="000000"/>
                <w:sz w:val="30"/>
                <w:szCs w:val="30"/>
              </w:rPr>
              <w:t>Поскольку в соответствии с пунктом 8 названной выше Инструкции максимальный период, необходимый для осуществления банками Республики Беларусь, открытым акционерным обществом ”Банк развития Республики Беларусь“, иностранными банками платежа и перевода денежных средств, не может превышать 30 календарных дней (за исключением случаев замораживания иностранными банками денежных средств, блокирования финансовых операций вследствие применения международных санкций), по таким валютным договорам резидентам следует обеспечить зачисление белорусских рублей и (или) иностранной валюты (выручки при экспорте, возврата предварительной оплаты при импорте) на свои счета в банках Республики Беларусь не позднее 8 августа 2021 г.</w:t>
            </w: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r>
              <w:rPr>
                <w:rFonts w:ascii="Times New Roman" w:hAnsi="Times New Roman" w:cs="Times New Roman"/>
                <w:color w:val="000000"/>
                <w:sz w:val="30"/>
                <w:szCs w:val="30"/>
              </w:rPr>
              <w:t>В противном случае в эти же сроки резидентам необходимо принять иные меры, на период осуществления которых сроки репатриации будут продлеваться (внести изменения в установленные договором сроки исполнения обязательств нерезидентом или обеспечить наличие оснований для продления сроков репатриации, указанных в пункте 6 статьи 19 Закона № 226-З).</w:t>
            </w: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r>
              <w:rPr>
                <w:rFonts w:ascii="Times New Roman" w:hAnsi="Times New Roman" w:cs="Times New Roman"/>
                <w:color w:val="000000"/>
                <w:sz w:val="30"/>
                <w:szCs w:val="30"/>
              </w:rPr>
              <w:t>По валютным договорам, сроки исполнения обязательств нерезидентом по которым наступают начиная с 9 июля 2021 г., в целях определения сроков репатриации используются сроки исполнения обязательств нерезидентами согласно этим договорам. При этом подход к продлению сроков репатриации используется аналогичный вышеизложенному.</w:t>
            </w: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r>
              <w:rPr>
                <w:rFonts w:ascii="Times New Roman" w:hAnsi="Times New Roman" w:cs="Times New Roman"/>
                <w:color w:val="000000"/>
                <w:sz w:val="30"/>
                <w:szCs w:val="30"/>
              </w:rPr>
              <w:t>В отношении вопросов, связанных с наличием в валютном договоре, предусматривающем экспорт, импорт, сроков исполнения обязательств нерезидентом, сообщаем следующее.</w:t>
            </w: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r>
              <w:rPr>
                <w:rFonts w:ascii="Times New Roman" w:hAnsi="Times New Roman" w:cs="Times New Roman"/>
                <w:color w:val="000000"/>
                <w:sz w:val="30"/>
                <w:szCs w:val="30"/>
              </w:rPr>
              <w:t>Согласно абзацу третьему части второй пункта 1 статьи 10 Закона № 226-З валютные договоры, заключаемые между резидентами и нерезидентами, должны предусматривать сроки исполнения обязательств нерезидентами по возврату белорусских рублей, иностранной валюты, внесенных резидентом в качестве предварительной оплаты, в случае неисполнения или исполнения не в полном объеме нерезидентом обязательств по передаче товаров, нераскрытой информации, исключительных прав на объекты интеллектуальной собственности, имущественных прав, имущества в аренду, выполнению работ, оказанию услуг (далее – срок возврата предварительной оплаты нерезидентом).</w:t>
            </w: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r>
              <w:rPr>
                <w:rFonts w:ascii="Times New Roman" w:hAnsi="Times New Roman" w:cs="Times New Roman"/>
                <w:color w:val="000000"/>
                <w:sz w:val="30"/>
                <w:szCs w:val="30"/>
              </w:rPr>
              <w:lastRenderedPageBreak/>
              <w:t>В соответствии со статьей 4 Закона Республики Беларусь от 30 июня 2020 г. № 36-З ”Об изменении законов по вопросам валютного регулирования и валютного контроля“ (далее – Закон № 36-З) проведение валютных операций с использованием иностранной валюты в случаях, установленных актами валютного законодательства до вступления в силу Закона № 36-З, разрешается до окончания исполнения обязательств по этим валютным операциям. Договоры, заключенные до 9 июля 2021 г. и предусматривающие проведение таких операций, не подлежат приведению в соответствие с Законом № 36-З. При этом в случае продления (увеличения) срока действия таких договоров их положения подлежат приведению в соответствие с требованиями Закона № 36-З.</w:t>
            </w: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r>
              <w:rPr>
                <w:rFonts w:ascii="Times New Roman" w:hAnsi="Times New Roman" w:cs="Times New Roman"/>
                <w:color w:val="000000"/>
                <w:sz w:val="30"/>
                <w:szCs w:val="30"/>
              </w:rPr>
              <w:t>С учетом изложенного при проведении резидентами валютных операций с использованием иностранной валюты срок возврата предварительной оплаты нерезидентом необходимо предусматривать по импортным валютным договорам, заключенным с 9 июля 2021 г., а также заключенным до 9 июля 2021 г. в случае продления (увеличения) срока действия таких договоров. При этом наличие срока возврата предварительной оплаты нерезидентом является обязательным условием импортного валютного договора только в случае, если условиями такого договора предусмотрена предварительная оплата резидентом передаваемых нерезидентом товаров, нераскрытой информации, исключительных прав на объекты интеллектуальной собственности, имущественных прав, имущества в аренду, выполняемых работ, оказываемых услуг (далее – товары, работы, услуги).</w:t>
            </w: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r>
              <w:rPr>
                <w:rFonts w:ascii="Times New Roman" w:hAnsi="Times New Roman" w:cs="Times New Roman"/>
                <w:color w:val="000000"/>
                <w:sz w:val="30"/>
                <w:szCs w:val="30"/>
              </w:rPr>
              <w:t>Осуществление резидентом в пользу нерезидента предварительной оплаты за товары, работы, услуги по импортному валютному договору, условиями которого предусмотрена оплата по факту поставки (выполнения, оказания) товаров, работ, услуг, возможно только при наличии в этом договоре срока возврата предварительной оплаты нерезидентом.</w:t>
            </w:r>
          </w:p>
          <w:p w:rsidR="00A818FF" w:rsidRDefault="00A818FF">
            <w:pPr>
              <w:keepNext/>
              <w:keepLines/>
              <w:autoSpaceDE w:val="0"/>
              <w:autoSpaceDN w:val="0"/>
              <w:adjustRightInd w:val="0"/>
              <w:spacing w:after="0" w:line="240" w:lineRule="auto"/>
              <w:ind w:firstLine="260"/>
              <w:jc w:val="both"/>
              <w:rPr>
                <w:rFonts w:ascii="Times New Roman" w:hAnsi="Times New Roman" w:cs="Times New Roman"/>
                <w:color w:val="000000"/>
                <w:sz w:val="30"/>
                <w:szCs w:val="30"/>
              </w:rPr>
            </w:pPr>
            <w:r>
              <w:rPr>
                <w:rFonts w:ascii="Times New Roman" w:hAnsi="Times New Roman" w:cs="Times New Roman"/>
                <w:color w:val="000000"/>
                <w:sz w:val="30"/>
                <w:szCs w:val="30"/>
              </w:rPr>
              <w:t>Просим банки довести данную информацию до сведения обслуживаемых клиентов.</w:t>
            </w:r>
          </w:p>
        </w:tc>
      </w:tr>
      <w:tr w:rsidR="00A818FF" w:rsidTr="00D2119B">
        <w:tc>
          <w:tcPr>
            <w:tcW w:w="6180" w:type="dxa"/>
          </w:tcPr>
          <w:p w:rsidR="00A818FF" w:rsidRDefault="00A818FF">
            <w:pPr>
              <w:keepNext/>
              <w:keepLines/>
              <w:autoSpaceDE w:val="0"/>
              <w:autoSpaceDN w:val="0"/>
              <w:adjustRightInd w:val="0"/>
              <w:spacing w:after="0" w:line="240" w:lineRule="auto"/>
              <w:rPr>
                <w:rFonts w:ascii="Helv" w:hAnsi="Helv" w:cs="Helv"/>
                <w:color w:val="0000FF"/>
                <w:sz w:val="14"/>
                <w:szCs w:val="14"/>
              </w:rPr>
            </w:pPr>
            <w:r>
              <w:rPr>
                <w:rFonts w:ascii="Helv" w:hAnsi="Helv" w:cs="Helv"/>
                <w:color w:val="0000FF"/>
                <w:sz w:val="14"/>
                <w:szCs w:val="14"/>
              </w:rPr>
              <w:lastRenderedPageBreak/>
              <w:t>Наименование должности:</w:t>
            </w:r>
          </w:p>
        </w:tc>
        <w:tc>
          <w:tcPr>
            <w:tcW w:w="3601" w:type="dxa"/>
          </w:tcPr>
          <w:p w:rsidR="00A818FF" w:rsidRDefault="00A818FF">
            <w:pPr>
              <w:keepNext/>
              <w:keepLines/>
              <w:autoSpaceDE w:val="0"/>
              <w:autoSpaceDN w:val="0"/>
              <w:adjustRightInd w:val="0"/>
              <w:spacing w:after="0" w:line="240" w:lineRule="auto"/>
              <w:rPr>
                <w:rFonts w:ascii="Helv" w:hAnsi="Helv" w:cs="Helv"/>
                <w:color w:val="0000FF"/>
                <w:sz w:val="14"/>
                <w:szCs w:val="14"/>
              </w:rPr>
            </w:pPr>
            <w:r>
              <w:rPr>
                <w:rFonts w:ascii="Helv" w:hAnsi="Helv" w:cs="Helv"/>
                <w:color w:val="0000FF"/>
                <w:sz w:val="14"/>
                <w:szCs w:val="14"/>
              </w:rPr>
              <w:t>Инициалы и фамилия:</w:t>
            </w:r>
          </w:p>
        </w:tc>
      </w:tr>
      <w:tr w:rsidR="00A818FF" w:rsidTr="00D2119B">
        <w:tc>
          <w:tcPr>
            <w:tcW w:w="6180" w:type="dxa"/>
          </w:tcPr>
          <w:p w:rsidR="00A818FF" w:rsidRDefault="00A818FF">
            <w:pPr>
              <w:keepNext/>
              <w:keepLines/>
              <w:autoSpaceDE w:val="0"/>
              <w:autoSpaceDN w:val="0"/>
              <w:adjustRightInd w:val="0"/>
              <w:spacing w:after="0" w:line="240" w:lineRule="auto"/>
              <w:rPr>
                <w:rFonts w:ascii="Helv" w:hAnsi="Helv" w:cs="Helv"/>
                <w:color w:val="000000"/>
                <w:sz w:val="18"/>
                <w:szCs w:val="18"/>
              </w:rPr>
            </w:pPr>
            <w:r>
              <w:rPr>
                <w:rFonts w:ascii="Helv" w:hAnsi="Helv" w:cs="Helv"/>
                <w:color w:val="000000"/>
                <w:sz w:val="18"/>
                <w:szCs w:val="18"/>
              </w:rPr>
              <w:t>Первый заместитель Председателя Правления</w:t>
            </w:r>
          </w:p>
        </w:tc>
        <w:tc>
          <w:tcPr>
            <w:tcW w:w="3601" w:type="dxa"/>
          </w:tcPr>
          <w:p w:rsidR="00A818FF" w:rsidRDefault="00A818FF">
            <w:pPr>
              <w:keepNext/>
              <w:keepLines/>
              <w:autoSpaceDE w:val="0"/>
              <w:autoSpaceDN w:val="0"/>
              <w:adjustRightInd w:val="0"/>
              <w:spacing w:after="0" w:line="240" w:lineRule="auto"/>
              <w:rPr>
                <w:rFonts w:ascii="Helv" w:hAnsi="Helv" w:cs="Helv"/>
                <w:color w:val="000000"/>
                <w:sz w:val="18"/>
                <w:szCs w:val="18"/>
              </w:rPr>
            </w:pPr>
            <w:r>
              <w:rPr>
                <w:rFonts w:ascii="Helv" w:hAnsi="Helv" w:cs="Helv"/>
                <w:color w:val="000000"/>
                <w:sz w:val="18"/>
                <w:szCs w:val="18"/>
              </w:rPr>
              <w:t>С.В.Калечиц</w:t>
            </w:r>
          </w:p>
        </w:tc>
      </w:tr>
      <w:tr w:rsidR="00A818FF" w:rsidTr="00D2119B">
        <w:tc>
          <w:tcPr>
            <w:tcW w:w="6180" w:type="dxa"/>
          </w:tcPr>
          <w:p w:rsidR="00A818FF" w:rsidRDefault="00A818FF">
            <w:pPr>
              <w:keepNext/>
              <w:keepLines/>
              <w:autoSpaceDE w:val="0"/>
              <w:autoSpaceDN w:val="0"/>
              <w:adjustRightInd w:val="0"/>
              <w:spacing w:after="0" w:line="240" w:lineRule="auto"/>
              <w:rPr>
                <w:rFonts w:ascii="Helv" w:hAnsi="Helv" w:cs="Helv"/>
                <w:color w:val="000000"/>
                <w:sz w:val="18"/>
                <w:szCs w:val="18"/>
              </w:rPr>
            </w:pPr>
          </w:p>
        </w:tc>
        <w:tc>
          <w:tcPr>
            <w:tcW w:w="3601" w:type="dxa"/>
          </w:tcPr>
          <w:p w:rsidR="00A818FF" w:rsidRDefault="00A818FF">
            <w:pPr>
              <w:keepNext/>
              <w:keepLines/>
              <w:autoSpaceDE w:val="0"/>
              <w:autoSpaceDN w:val="0"/>
              <w:adjustRightInd w:val="0"/>
              <w:spacing w:after="0" w:line="240" w:lineRule="auto"/>
              <w:rPr>
                <w:rFonts w:ascii="Helv" w:hAnsi="Helv" w:cs="Helv"/>
                <w:color w:val="000000"/>
                <w:sz w:val="18"/>
                <w:szCs w:val="18"/>
              </w:rPr>
            </w:pPr>
          </w:p>
        </w:tc>
      </w:tr>
      <w:tr w:rsidR="00A818FF" w:rsidTr="00D2119B">
        <w:tc>
          <w:tcPr>
            <w:tcW w:w="6180" w:type="dxa"/>
          </w:tcPr>
          <w:p w:rsidR="00A818FF" w:rsidRDefault="00A818FF">
            <w:pPr>
              <w:keepNext/>
              <w:keepLines/>
              <w:autoSpaceDE w:val="0"/>
              <w:autoSpaceDN w:val="0"/>
              <w:adjustRightInd w:val="0"/>
              <w:spacing w:after="0" w:line="240" w:lineRule="auto"/>
              <w:rPr>
                <w:rFonts w:ascii="Helv" w:hAnsi="Helv" w:cs="Helv"/>
                <w:color w:val="0000FF"/>
                <w:sz w:val="14"/>
                <w:szCs w:val="14"/>
              </w:rPr>
            </w:pPr>
            <w:r>
              <w:rPr>
                <w:rFonts w:ascii="Helv" w:hAnsi="Helv" w:cs="Helv"/>
                <w:color w:val="0000FF"/>
                <w:sz w:val="14"/>
                <w:szCs w:val="14"/>
              </w:rPr>
              <w:t>Гриф согласования:</w:t>
            </w:r>
          </w:p>
        </w:tc>
        <w:tc>
          <w:tcPr>
            <w:tcW w:w="3601" w:type="dxa"/>
          </w:tcPr>
          <w:p w:rsidR="00A818FF" w:rsidRDefault="00A818FF">
            <w:pPr>
              <w:keepNext/>
              <w:keepLines/>
              <w:autoSpaceDE w:val="0"/>
              <w:autoSpaceDN w:val="0"/>
              <w:adjustRightInd w:val="0"/>
              <w:spacing w:after="0" w:line="240" w:lineRule="auto"/>
              <w:rPr>
                <w:rFonts w:ascii="Helv" w:hAnsi="Helv" w:cs="Helv"/>
                <w:color w:val="0000FF"/>
                <w:sz w:val="14"/>
                <w:szCs w:val="14"/>
              </w:rPr>
            </w:pPr>
          </w:p>
        </w:tc>
      </w:tr>
      <w:tr w:rsidR="00A818FF" w:rsidTr="00D2119B">
        <w:tc>
          <w:tcPr>
            <w:tcW w:w="6180" w:type="dxa"/>
          </w:tcPr>
          <w:p w:rsidR="00A818FF" w:rsidRDefault="00A818FF">
            <w:pPr>
              <w:keepNext/>
              <w:keepLines/>
              <w:autoSpaceDE w:val="0"/>
              <w:autoSpaceDN w:val="0"/>
              <w:adjustRightInd w:val="0"/>
              <w:spacing w:after="0" w:line="240" w:lineRule="auto"/>
              <w:rPr>
                <w:rFonts w:ascii="Helv" w:hAnsi="Helv" w:cs="Helv"/>
                <w:color w:val="0000FF"/>
                <w:sz w:val="14"/>
                <w:szCs w:val="14"/>
              </w:rPr>
            </w:pPr>
          </w:p>
        </w:tc>
        <w:tc>
          <w:tcPr>
            <w:tcW w:w="3601" w:type="dxa"/>
          </w:tcPr>
          <w:p w:rsidR="00A818FF" w:rsidRDefault="00A818FF">
            <w:pPr>
              <w:keepNext/>
              <w:keepLines/>
              <w:autoSpaceDE w:val="0"/>
              <w:autoSpaceDN w:val="0"/>
              <w:adjustRightInd w:val="0"/>
              <w:spacing w:after="0" w:line="240" w:lineRule="auto"/>
              <w:rPr>
                <w:rFonts w:ascii="Helv" w:hAnsi="Helv" w:cs="Helv"/>
                <w:color w:val="0000FF"/>
                <w:sz w:val="14"/>
                <w:szCs w:val="14"/>
              </w:rPr>
            </w:pPr>
          </w:p>
        </w:tc>
      </w:tr>
      <w:tr w:rsidR="00A818FF" w:rsidTr="00D2119B">
        <w:tc>
          <w:tcPr>
            <w:tcW w:w="6180" w:type="dxa"/>
          </w:tcPr>
          <w:p w:rsidR="00A818FF" w:rsidRDefault="00A818FF">
            <w:pPr>
              <w:keepNext/>
              <w:keepLines/>
              <w:autoSpaceDE w:val="0"/>
              <w:autoSpaceDN w:val="0"/>
              <w:adjustRightInd w:val="0"/>
              <w:spacing w:after="0" w:line="240" w:lineRule="auto"/>
              <w:rPr>
                <w:rFonts w:ascii="Helv" w:hAnsi="Helv" w:cs="Helv"/>
                <w:color w:val="0000FF"/>
                <w:sz w:val="14"/>
                <w:szCs w:val="14"/>
              </w:rPr>
            </w:pPr>
          </w:p>
        </w:tc>
        <w:tc>
          <w:tcPr>
            <w:tcW w:w="3601" w:type="dxa"/>
          </w:tcPr>
          <w:p w:rsidR="00A818FF" w:rsidRDefault="00A818FF">
            <w:pPr>
              <w:keepNext/>
              <w:keepLines/>
              <w:autoSpaceDE w:val="0"/>
              <w:autoSpaceDN w:val="0"/>
              <w:adjustRightInd w:val="0"/>
              <w:spacing w:after="0" w:line="240" w:lineRule="auto"/>
              <w:rPr>
                <w:rFonts w:ascii="Helv" w:hAnsi="Helv" w:cs="Helv"/>
                <w:color w:val="0000FF"/>
                <w:sz w:val="14"/>
                <w:szCs w:val="14"/>
              </w:rPr>
            </w:pPr>
          </w:p>
        </w:tc>
      </w:tr>
      <w:tr w:rsidR="00A818FF" w:rsidTr="00D2119B">
        <w:tc>
          <w:tcPr>
            <w:tcW w:w="6180" w:type="dxa"/>
          </w:tcPr>
          <w:p w:rsidR="00A818FF" w:rsidRDefault="00A818FF">
            <w:pPr>
              <w:keepNext/>
              <w:keepLines/>
              <w:autoSpaceDE w:val="0"/>
              <w:autoSpaceDN w:val="0"/>
              <w:adjustRightInd w:val="0"/>
              <w:spacing w:after="0" w:line="240" w:lineRule="auto"/>
              <w:rPr>
                <w:rFonts w:ascii="Helv" w:hAnsi="Helv" w:cs="Helv"/>
                <w:color w:val="0000FF"/>
                <w:sz w:val="14"/>
                <w:szCs w:val="14"/>
              </w:rPr>
            </w:pPr>
            <w:r>
              <w:rPr>
                <w:rFonts w:ascii="Helv" w:hAnsi="Helv" w:cs="Helv"/>
                <w:color w:val="0000FF"/>
                <w:sz w:val="14"/>
                <w:szCs w:val="14"/>
              </w:rPr>
              <w:t>ФИО исполнителя и телефон:</w:t>
            </w:r>
          </w:p>
        </w:tc>
        <w:tc>
          <w:tcPr>
            <w:tcW w:w="3601" w:type="dxa"/>
          </w:tcPr>
          <w:p w:rsidR="00A818FF" w:rsidRDefault="00A818FF">
            <w:pPr>
              <w:keepNext/>
              <w:keepLines/>
              <w:autoSpaceDE w:val="0"/>
              <w:autoSpaceDN w:val="0"/>
              <w:adjustRightInd w:val="0"/>
              <w:spacing w:after="0" w:line="240" w:lineRule="auto"/>
              <w:rPr>
                <w:rFonts w:ascii="Helv" w:hAnsi="Helv" w:cs="Helv"/>
                <w:color w:val="0000FF"/>
                <w:sz w:val="14"/>
                <w:szCs w:val="14"/>
              </w:rPr>
            </w:pPr>
          </w:p>
        </w:tc>
      </w:tr>
      <w:tr w:rsidR="00A818FF" w:rsidTr="00D2119B">
        <w:tc>
          <w:tcPr>
            <w:tcW w:w="6180" w:type="dxa"/>
          </w:tcPr>
          <w:p w:rsidR="00A818FF" w:rsidRDefault="00A818FF">
            <w:pPr>
              <w:keepNext/>
              <w:keepLines/>
              <w:autoSpaceDE w:val="0"/>
              <w:autoSpaceDN w:val="0"/>
              <w:adjustRightInd w:val="0"/>
              <w:spacing w:after="0" w:line="240" w:lineRule="auto"/>
              <w:rPr>
                <w:rFonts w:ascii="Helv" w:hAnsi="Helv" w:cs="Helv"/>
                <w:color w:val="000000"/>
                <w:sz w:val="18"/>
                <w:szCs w:val="18"/>
              </w:rPr>
            </w:pPr>
            <w:r>
              <w:rPr>
                <w:rFonts w:ascii="Helv" w:hAnsi="Helv" w:cs="Helv"/>
                <w:color w:val="000000"/>
                <w:sz w:val="18"/>
                <w:szCs w:val="18"/>
              </w:rPr>
              <w:t>Кавко 219 24 56</w:t>
            </w:r>
          </w:p>
        </w:tc>
        <w:tc>
          <w:tcPr>
            <w:tcW w:w="3601" w:type="dxa"/>
          </w:tcPr>
          <w:p w:rsidR="00A818FF" w:rsidRDefault="00A818FF">
            <w:pPr>
              <w:keepNext/>
              <w:keepLines/>
              <w:autoSpaceDE w:val="0"/>
              <w:autoSpaceDN w:val="0"/>
              <w:adjustRightInd w:val="0"/>
              <w:spacing w:after="0" w:line="240" w:lineRule="auto"/>
              <w:rPr>
                <w:rFonts w:ascii="Helv" w:hAnsi="Helv" w:cs="Helv"/>
                <w:color w:val="000000"/>
                <w:sz w:val="18"/>
                <w:szCs w:val="18"/>
              </w:rPr>
            </w:pPr>
          </w:p>
        </w:tc>
      </w:tr>
      <w:tr w:rsidR="00A818FF" w:rsidTr="00D2119B">
        <w:tc>
          <w:tcPr>
            <w:tcW w:w="6180" w:type="dxa"/>
          </w:tcPr>
          <w:p w:rsidR="00A818FF" w:rsidRDefault="00A818FF">
            <w:pPr>
              <w:keepNext/>
              <w:keepLines/>
              <w:autoSpaceDE w:val="0"/>
              <w:autoSpaceDN w:val="0"/>
              <w:adjustRightInd w:val="0"/>
              <w:spacing w:after="0" w:line="240" w:lineRule="auto"/>
              <w:rPr>
                <w:rFonts w:ascii="Helv" w:hAnsi="Helv" w:cs="Helv"/>
                <w:color w:val="000000"/>
                <w:sz w:val="18"/>
                <w:szCs w:val="18"/>
              </w:rPr>
            </w:pPr>
          </w:p>
        </w:tc>
        <w:tc>
          <w:tcPr>
            <w:tcW w:w="3601" w:type="dxa"/>
          </w:tcPr>
          <w:p w:rsidR="00A818FF" w:rsidRDefault="00A818FF">
            <w:pPr>
              <w:keepNext/>
              <w:keepLines/>
              <w:autoSpaceDE w:val="0"/>
              <w:autoSpaceDN w:val="0"/>
              <w:adjustRightInd w:val="0"/>
              <w:spacing w:after="0" w:line="240" w:lineRule="auto"/>
              <w:rPr>
                <w:rFonts w:ascii="Helv" w:hAnsi="Helv" w:cs="Helv"/>
                <w:color w:val="000000"/>
                <w:sz w:val="18"/>
                <w:szCs w:val="18"/>
              </w:rPr>
            </w:pPr>
          </w:p>
        </w:tc>
      </w:tr>
    </w:tbl>
    <w:p w:rsidR="007F64D8" w:rsidRDefault="007F64D8"/>
    <w:sectPr w:rsidR="007F64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8FF" w:rsidRDefault="00A818FF" w:rsidP="00A818FF">
      <w:pPr>
        <w:spacing w:after="0" w:line="240" w:lineRule="auto"/>
      </w:pPr>
      <w:r>
        <w:separator/>
      </w:r>
    </w:p>
  </w:endnote>
  <w:endnote w:type="continuationSeparator" w:id="0">
    <w:p w:rsidR="00A818FF" w:rsidRDefault="00A818FF" w:rsidP="00A8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8FF" w:rsidRDefault="00A818FF" w:rsidP="00A818FF">
      <w:pPr>
        <w:spacing w:after="0" w:line="240" w:lineRule="auto"/>
      </w:pPr>
      <w:r>
        <w:separator/>
      </w:r>
    </w:p>
  </w:footnote>
  <w:footnote w:type="continuationSeparator" w:id="0">
    <w:p w:rsidR="00A818FF" w:rsidRDefault="00A818FF" w:rsidP="00A818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FF"/>
    <w:rsid w:val="007F64D8"/>
    <w:rsid w:val="00A818FF"/>
    <w:rsid w:val="00D21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8B608"/>
  <w15:chartTrackingRefBased/>
  <w15:docId w15:val="{5C94ABB7-ECCA-4E52-B2F1-5EB112EC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Gulko</dc:creator>
  <cp:keywords/>
  <dc:description/>
  <cp:lastModifiedBy>Luiza Gulko</cp:lastModifiedBy>
  <cp:revision>2</cp:revision>
  <dcterms:created xsi:type="dcterms:W3CDTF">2021-07-19T11:34:00Z</dcterms:created>
  <dcterms:modified xsi:type="dcterms:W3CDTF">2021-07-19T11:38:00Z</dcterms:modified>
</cp:coreProperties>
</file>